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F420" w14:textId="6ADCB727" w:rsidR="00A9204E" w:rsidRPr="0022165B" w:rsidRDefault="0075131A" w:rsidP="00382304">
      <w:pPr>
        <w:pStyle w:val="Heading1"/>
      </w:pPr>
      <w:r>
        <w:t xml:space="preserve">Kutleng response to : </w:t>
      </w:r>
      <w:r w:rsidR="00382304" w:rsidRPr="0022165B">
        <w:t xml:space="preserve">The Draft Regulations On Dynamic Spectrum Access And Opportunistic Spectrum Management In The Innovation Spectrum 3800-4200 MHz And 5925-6425 </w:t>
      </w:r>
      <w:proofErr w:type="spellStart"/>
      <w:r w:rsidR="00382304" w:rsidRPr="0022165B">
        <w:t>MHz.</w:t>
      </w:r>
      <w:proofErr w:type="spellEnd"/>
      <w:r w:rsidR="00382304" w:rsidRPr="0022165B">
        <w:t xml:space="preserve"> </w:t>
      </w:r>
    </w:p>
    <w:p w14:paraId="1F13FE7D" w14:textId="77777777" w:rsidR="00382304" w:rsidRPr="0022165B" w:rsidRDefault="00382304"/>
    <w:p w14:paraId="4FEEC30B" w14:textId="103144AD" w:rsidR="00382304" w:rsidRPr="0022165B" w:rsidRDefault="00382304" w:rsidP="00382304">
      <w:pPr>
        <w:pStyle w:val="Heading1"/>
        <w:numPr>
          <w:ilvl w:val="0"/>
          <w:numId w:val="24"/>
        </w:numPr>
      </w:pPr>
      <w:r w:rsidRPr="0022165B">
        <w:t>Introduction</w:t>
      </w:r>
    </w:p>
    <w:p w14:paraId="14DD7092" w14:textId="77777777" w:rsidR="00382304" w:rsidRPr="0022165B" w:rsidRDefault="00382304" w:rsidP="00382304"/>
    <w:p w14:paraId="52B5BFB3" w14:textId="77777777" w:rsidR="00C27FB1" w:rsidRDefault="00C27FB1" w:rsidP="00C27FB1">
      <w:pPr>
        <w:jc w:val="both"/>
      </w:pPr>
      <w:r>
        <w:t>Kutleng Dynamic Electronic Systems (Pty) Ltd (“Kutleng”) appreciates the opportunity to provide comments on ICASA’s Government Gazette No. 52415, dated 28 March 2025, titled “Notice on the Draft Regulations on Dynamic Spectrum Access and Opportunistic Spectrum Management in the Innovation Spectrum (3800–4200 MHz and 5925–6425 MHz)”.</w:t>
      </w:r>
    </w:p>
    <w:p w14:paraId="218809F3" w14:textId="77777777" w:rsidR="00C27FB1" w:rsidRDefault="00C27FB1" w:rsidP="00C27FB1"/>
    <w:p w14:paraId="34B5E9F3" w14:textId="7AF27389" w:rsidR="009A1607" w:rsidRDefault="00C27FB1" w:rsidP="00C27FB1">
      <w:pPr>
        <w:jc w:val="both"/>
      </w:pPr>
      <w:r>
        <w:t>This submission highlights key aspects of the draft regulations and does not attempt to address every provision contained in the Gazette. Kutleng supports ICASA’s designation of the ISFR1 band and its frequency boundaries, recognizing that this band aligns with the N77 band, which is widely adopted for IMT (International Mobile Telecommunications) devices</w:t>
      </w:r>
    </w:p>
    <w:p w14:paraId="2D23CF3E" w14:textId="44D76F55" w:rsidR="00EC7843" w:rsidRPr="0022165B" w:rsidRDefault="00B95DF8" w:rsidP="00382304">
      <w:pPr>
        <w:pStyle w:val="Heading1"/>
        <w:numPr>
          <w:ilvl w:val="0"/>
          <w:numId w:val="24"/>
        </w:numPr>
      </w:pPr>
      <w:r>
        <w:t>Request for g</w:t>
      </w:r>
      <w:r w:rsidR="00F717D9" w:rsidRPr="0022165B">
        <w:t>azette</w:t>
      </w:r>
      <w:r w:rsidR="004F5F9C" w:rsidRPr="0022165B">
        <w:t xml:space="preserve"> </w:t>
      </w:r>
      <w:r>
        <w:t xml:space="preserve">amendments </w:t>
      </w:r>
    </w:p>
    <w:p w14:paraId="771A0C91" w14:textId="77777777" w:rsidR="00D00F76" w:rsidRPr="0022165B" w:rsidRDefault="00D00F76" w:rsidP="00D00F76"/>
    <w:p w14:paraId="74FA54D3" w14:textId="78791CD3" w:rsidR="00D512A9" w:rsidRDefault="00D512A9" w:rsidP="00D512A9">
      <w:pPr>
        <w:jc w:val="both"/>
      </w:pPr>
      <w:r>
        <w:t>Kutleng acknowledges the global intent behind Dynamic Spectrum Access (DSA), as demonstrated in models such as the CBRS framework in the United States and MSIT CMS in South Korea, which aim to promote equitable spectrum access for emerging users while supporting the development of successful enterprises.</w:t>
      </w:r>
      <w:r w:rsidR="00BB3C0C">
        <w:t xml:space="preserve"> </w:t>
      </w:r>
      <w:r>
        <w:t>However, we find that the current DSA proposal from ICASA, in its present form, may fall short of this mandate. Rather than enabling emerging spectrum users, it risks becoming a mechanism that imposes restrictive limitations, potentially hindering innovation and enterprise development.</w:t>
      </w:r>
    </w:p>
    <w:p w14:paraId="429523E7" w14:textId="77777777" w:rsidR="00D512A9" w:rsidRDefault="00D512A9" w:rsidP="00D512A9">
      <w:pPr>
        <w:jc w:val="both"/>
      </w:pPr>
    </w:p>
    <w:p w14:paraId="6F17E1E7" w14:textId="6E8F3B7E" w:rsidR="00A91C80" w:rsidRDefault="00D512A9" w:rsidP="00D512A9">
      <w:pPr>
        <w:jc w:val="both"/>
      </w:pPr>
      <w:r>
        <w:t xml:space="preserve">Kutleng therefore expresses partial disagreement with the current proposal and respectfully submits the following recommended amendments. These changes are intended to ensure that the legislative framework truly </w:t>
      </w:r>
      <w:proofErr w:type="spellStart"/>
      <w:r>
        <w:t>fulfills</w:t>
      </w:r>
      <w:proofErr w:type="spellEnd"/>
      <w:r>
        <w:t xml:space="preserve"> its purpose: empowering emerging spectrum users and fostering an environment conducive to inclusive economic participation and innovation</w:t>
      </w:r>
      <w:r w:rsidR="00A91C80">
        <w:t>:</w:t>
      </w:r>
    </w:p>
    <w:p w14:paraId="53604919" w14:textId="61F3A329" w:rsidR="00A91C80" w:rsidRPr="0022165B" w:rsidRDefault="00603F14" w:rsidP="00A91C80">
      <w:pPr>
        <w:pStyle w:val="Heading1"/>
        <w:numPr>
          <w:ilvl w:val="1"/>
          <w:numId w:val="24"/>
        </w:numPr>
      </w:pPr>
      <w:r>
        <w:t>Channel assignment per license area restrictions</w:t>
      </w:r>
      <w:r w:rsidR="00A91C80">
        <w:t xml:space="preserve"> </w:t>
      </w:r>
    </w:p>
    <w:p w14:paraId="1F01CB5A" w14:textId="77777777" w:rsidR="008055FF" w:rsidRDefault="008055FF" w:rsidP="00A91C80">
      <w:pPr>
        <w:jc w:val="both"/>
      </w:pPr>
    </w:p>
    <w:p w14:paraId="62DAE45A" w14:textId="77777777" w:rsidR="007B2F3F" w:rsidRDefault="003C398D" w:rsidP="003C398D">
      <w:pPr>
        <w:jc w:val="both"/>
      </w:pPr>
      <w:r>
        <w:t>Kutleng is concerned that the current channel assignment restrictions per license area are overly narrow and incompatible with standard IMT (International Mobile Telecommunications) channel configurations. In practice, IMT channel widths are typically allocated in increments of 5 MHz up to 100 MHz, which supports a wide range of high-capacity applications.</w:t>
      </w:r>
      <w:r>
        <w:t xml:space="preserve"> </w:t>
      </w:r>
    </w:p>
    <w:p w14:paraId="3253E82C" w14:textId="77777777" w:rsidR="007B2F3F" w:rsidRDefault="007B2F3F" w:rsidP="003C398D">
      <w:pPr>
        <w:jc w:val="both"/>
      </w:pPr>
    </w:p>
    <w:p w14:paraId="40521ADB" w14:textId="027735B4" w:rsidR="00603F14" w:rsidRDefault="003C398D" w:rsidP="003C398D">
      <w:pPr>
        <w:jc w:val="both"/>
      </w:pPr>
      <w:r>
        <w:t>The proposed constraints—particularly in urban areas—are too limiting, and the maximum contiguous bandwidth per license area is insufficient to support high-bandwidth applications, which are increasingly essential in both rural and urban environments. These limitations could significantly hinder the performance and scalability of services intended to operate within the DSA framework</w:t>
      </w:r>
      <w:r w:rsidR="00610C97">
        <w:t>.</w:t>
      </w:r>
    </w:p>
    <w:p w14:paraId="2FE93F31" w14:textId="77777777" w:rsidR="003C398D" w:rsidRDefault="003C398D" w:rsidP="003C398D">
      <w:pPr>
        <w:jc w:val="both"/>
      </w:pPr>
    </w:p>
    <w:p w14:paraId="4F56A37D" w14:textId="087E1C76" w:rsidR="003B65B4" w:rsidRDefault="003D2031" w:rsidP="00603F14">
      <w:pPr>
        <w:pStyle w:val="Heading1"/>
        <w:numPr>
          <w:ilvl w:val="1"/>
          <w:numId w:val="24"/>
        </w:numPr>
      </w:pPr>
      <w:r>
        <w:t xml:space="preserve">Unfavourable TRP and EIRP for </w:t>
      </w:r>
      <w:r w:rsidR="00505FE5">
        <w:t xml:space="preserve">Master Devices </w:t>
      </w:r>
      <w:r w:rsidR="003B65B4">
        <w:t>and ISD</w:t>
      </w:r>
    </w:p>
    <w:p w14:paraId="33EFD6D2" w14:textId="77777777" w:rsidR="00026EFE" w:rsidRDefault="00026EFE" w:rsidP="00026EFE"/>
    <w:p w14:paraId="11DB05B2" w14:textId="09E6A3EA" w:rsidR="00026EFE" w:rsidRDefault="00F232FA" w:rsidP="002425F9">
      <w:pPr>
        <w:jc w:val="both"/>
      </w:pPr>
      <w:r>
        <w:t xml:space="preserve">It does not make sense to impose limits on the entire country because of a few FSS areas like Randburg (Multichoice), </w:t>
      </w:r>
      <w:r w:rsidR="007C3AFA">
        <w:t xml:space="preserve">Midrand (Multichoice), </w:t>
      </w:r>
      <w:proofErr w:type="spellStart"/>
      <w:r w:rsidR="007C3AFA">
        <w:t>Radiokop</w:t>
      </w:r>
      <w:proofErr w:type="spellEnd"/>
      <w:r w:rsidR="007C3AFA">
        <w:t xml:space="preserve"> (Sentech), </w:t>
      </w:r>
      <w:proofErr w:type="spellStart"/>
      <w:r w:rsidR="007C3AFA">
        <w:t>Haartebees</w:t>
      </w:r>
      <w:r w:rsidR="00821AF3">
        <w:t>hoek</w:t>
      </w:r>
      <w:proofErr w:type="spellEnd"/>
      <w:r w:rsidR="007C3AFA">
        <w:t xml:space="preserve"> (SARAO, SANSA). </w:t>
      </w:r>
      <w:r w:rsidR="002425F9">
        <w:t>The</w:t>
      </w:r>
      <w:r w:rsidR="003D036A">
        <w:t xml:space="preserve"> current DSA</w:t>
      </w:r>
      <w:r w:rsidR="002425F9">
        <w:t xml:space="preserve"> transmit power limits </w:t>
      </w:r>
      <w:r w:rsidR="00DA2495">
        <w:t>should be</w:t>
      </w:r>
      <w:r w:rsidR="002425F9">
        <w:t xml:space="preserve"> </w:t>
      </w:r>
      <w:r w:rsidR="003D036A">
        <w:t>applied only to</w:t>
      </w:r>
      <w:r w:rsidR="002425F9">
        <w:t xml:space="preserve"> th</w:t>
      </w:r>
      <w:r w:rsidR="00132106">
        <w:t>e</w:t>
      </w:r>
      <w:r w:rsidR="002425F9">
        <w:t xml:space="preserve"> FSS zones to ensure co-existence</w:t>
      </w:r>
      <w:r w:rsidR="00132106">
        <w:t xml:space="preserve"> as per the cited studies in Pretoria and Randburg.</w:t>
      </w:r>
    </w:p>
    <w:p w14:paraId="288E822C" w14:textId="59FE6FBE" w:rsidR="00603F14" w:rsidRDefault="003B65B4" w:rsidP="00603F14">
      <w:pPr>
        <w:pStyle w:val="Heading1"/>
        <w:numPr>
          <w:ilvl w:val="1"/>
          <w:numId w:val="24"/>
        </w:numPr>
      </w:pPr>
      <w:r>
        <w:lastRenderedPageBreak/>
        <w:t xml:space="preserve">Unfavourable </w:t>
      </w:r>
      <w:r w:rsidR="00EB645C">
        <w:t>limit</w:t>
      </w:r>
      <w:r w:rsidR="004D12AA">
        <w:t xml:space="preserve"> </w:t>
      </w:r>
      <w:r w:rsidR="00615BEA">
        <w:t xml:space="preserve">of transmit power </w:t>
      </w:r>
      <w:r w:rsidR="00EB645C">
        <w:t>especially on</w:t>
      </w:r>
      <w:r>
        <w:t xml:space="preserve"> urban areas</w:t>
      </w:r>
    </w:p>
    <w:p w14:paraId="46A083E8" w14:textId="77777777" w:rsidR="004D12AA" w:rsidRDefault="004D12AA" w:rsidP="004D12AA"/>
    <w:p w14:paraId="51EB5FDA" w14:textId="40493A99" w:rsidR="00026EFE" w:rsidRPr="00026EFE" w:rsidRDefault="004D12AA" w:rsidP="009A1A81">
      <w:pPr>
        <w:jc w:val="both"/>
      </w:pPr>
      <w:r>
        <w:t xml:space="preserve">Studies have shown that the entire African continent is experiencing </w:t>
      </w:r>
      <w:r w:rsidR="00D14C61">
        <w:t xml:space="preserve">rural to urban migration. These socioeconomic forces are </w:t>
      </w:r>
      <w:r w:rsidR="00263C1A">
        <w:t>un</w:t>
      </w:r>
      <w:r w:rsidR="007F0890">
        <w:t xml:space="preserve">assailable, as such it is important that this legislation be aligned with the </w:t>
      </w:r>
      <w:r w:rsidR="00DF60B2">
        <w:t xml:space="preserve">migration phenomena. The current transmit power limits are not practical for </w:t>
      </w:r>
      <w:r w:rsidR="00134346">
        <w:t>deployment of network</w:t>
      </w:r>
      <w:r w:rsidR="00A359A0">
        <w:t>s</w:t>
      </w:r>
      <w:r w:rsidR="00134346">
        <w:t xml:space="preserve"> that could be successfully </w:t>
      </w:r>
      <w:proofErr w:type="spellStart"/>
      <w:r w:rsidR="00A359A0">
        <w:t>enterprised</w:t>
      </w:r>
      <w:proofErr w:type="spellEnd"/>
      <w:r w:rsidR="007B2C14">
        <w:t xml:space="preserve">. To have successful enterprise on the spectrum </w:t>
      </w:r>
      <w:r w:rsidR="00A359A0">
        <w:t>sufficient</w:t>
      </w:r>
      <w:r w:rsidR="007B2C14">
        <w:t xml:space="preserve"> transmit power is </w:t>
      </w:r>
      <w:r w:rsidR="00A359A0">
        <w:t>necessary</w:t>
      </w:r>
      <w:r w:rsidR="007B2C14">
        <w:t xml:space="preserve"> for better SNR</w:t>
      </w:r>
      <w:r w:rsidR="00B24CC3">
        <w:t xml:space="preserve"> </w:t>
      </w:r>
      <w:r w:rsidR="00B24CC3">
        <w:t>on the link budget</w:t>
      </w:r>
      <w:r w:rsidR="007B2C14">
        <w:t xml:space="preserve">. </w:t>
      </w:r>
      <w:r w:rsidR="00134346">
        <w:t xml:space="preserve"> </w:t>
      </w:r>
      <w:r w:rsidR="00DA2495">
        <w:t xml:space="preserve">The </w:t>
      </w:r>
      <w:r w:rsidR="009A1A81">
        <w:t xml:space="preserve">end goal is to have good and practical quality </w:t>
      </w:r>
      <w:r w:rsidR="00DC7019">
        <w:t>o</w:t>
      </w:r>
      <w:r w:rsidR="009A1A81">
        <w:t>f service</w:t>
      </w:r>
      <w:r w:rsidR="00DC7019">
        <w:t>,</w:t>
      </w:r>
      <w:r w:rsidR="009A1A81">
        <w:t xml:space="preserve"> not just spectrum access.</w:t>
      </w:r>
    </w:p>
    <w:p w14:paraId="62DE4131" w14:textId="77777777" w:rsidR="004C65F9" w:rsidRDefault="00684DE9" w:rsidP="00684DE9">
      <w:pPr>
        <w:pStyle w:val="Heading1"/>
        <w:numPr>
          <w:ilvl w:val="1"/>
          <w:numId w:val="24"/>
        </w:numPr>
      </w:pPr>
      <w:r>
        <w:t xml:space="preserve">Open ended fees for the USSPs </w:t>
      </w:r>
    </w:p>
    <w:p w14:paraId="72AF527D" w14:textId="77777777" w:rsidR="00B24CC3" w:rsidRDefault="00B24CC3" w:rsidP="00B24CC3"/>
    <w:p w14:paraId="51D5C9DB" w14:textId="0C4941EB" w:rsidR="00B24CC3" w:rsidRPr="00B24CC3" w:rsidRDefault="00B24CC3" w:rsidP="00815109">
      <w:pPr>
        <w:jc w:val="both"/>
      </w:pPr>
      <w:r>
        <w:t xml:space="preserve">ICASA should regulate the pricing of spectrum access </w:t>
      </w:r>
      <w:r w:rsidR="006472C7">
        <w:t xml:space="preserve">for USSPs. </w:t>
      </w:r>
      <w:r w:rsidR="00A878CD" w:rsidRPr="00A878CD">
        <w:t>Strict oversight is essential to prevent USSPs from undermining the principles of the DSA through pricing practices that are unaffordable or unfair—particularly those influenced by powerful corporations that may not support the DSA’s objectives.</w:t>
      </w:r>
      <w:r w:rsidR="006155FB">
        <w:t xml:space="preserve"> </w:t>
      </w:r>
      <w:r w:rsidR="00E57C8A" w:rsidRPr="00E57C8A">
        <w:t>It may also be prudent to implement differentiated spectrum access fees for rural and urban areas, based on population segments defined by Living Standards Measure (LSM) classifications</w:t>
      </w:r>
      <w:r w:rsidR="004024D1">
        <w:t>.</w:t>
      </w:r>
      <w:r w:rsidR="001B7E3A">
        <w:t xml:space="preserve"> </w:t>
      </w:r>
      <w:r w:rsidR="00C1188F" w:rsidRPr="00C1188F">
        <w:t>We recommend that ICASA limit the number of USSP licenses issued to prevent unsustainable market saturation, and that the licensing process be opened at fixed intervals—such as every five or ten years—to ensure stability</w:t>
      </w:r>
      <w:r w:rsidR="00C1188F">
        <w:t>, sustainability</w:t>
      </w:r>
      <w:r w:rsidR="00C1188F" w:rsidRPr="00C1188F">
        <w:t xml:space="preserve"> and strategic planning</w:t>
      </w:r>
      <w:r w:rsidR="00BE212F">
        <w:t xml:space="preserve">. </w:t>
      </w:r>
    </w:p>
    <w:p w14:paraId="26EACF43" w14:textId="355F3718" w:rsidR="00684DE9" w:rsidRDefault="004C65F9" w:rsidP="00684DE9">
      <w:pPr>
        <w:pStyle w:val="Heading1"/>
        <w:numPr>
          <w:ilvl w:val="1"/>
          <w:numId w:val="24"/>
        </w:numPr>
      </w:pPr>
      <w:r>
        <w:t xml:space="preserve">Lack of spectrum assignment for </w:t>
      </w:r>
      <w:proofErr w:type="spellStart"/>
      <w:r>
        <w:t>mmWave</w:t>
      </w:r>
      <w:proofErr w:type="spellEnd"/>
      <w:r>
        <w:t xml:space="preserve"> frequencies</w:t>
      </w:r>
    </w:p>
    <w:p w14:paraId="41E46CE9" w14:textId="77777777" w:rsidR="00684DE9" w:rsidRPr="00684DE9" w:rsidRDefault="00684DE9" w:rsidP="00684DE9"/>
    <w:p w14:paraId="458FA5CC" w14:textId="77777777" w:rsidR="00603F14" w:rsidRDefault="00603F14" w:rsidP="00A91C80">
      <w:pPr>
        <w:jc w:val="both"/>
      </w:pPr>
    </w:p>
    <w:p w14:paraId="4CACDBB1" w14:textId="31D025E8" w:rsidR="00B959F5" w:rsidRPr="0022165B" w:rsidRDefault="00BC1F6A" w:rsidP="00A91C80">
      <w:pPr>
        <w:jc w:val="both"/>
      </w:pPr>
      <w:r w:rsidRPr="00BC1F6A">
        <w:t xml:space="preserve">Kutleng recommends that ICASA publish regulated maximum access fees for the ISFR1 band to prevent USSPs from undermining the integrity of the shared infrastructure. Additionally, ICASA should accredit independent laboratories to certify Innovation Spectrum Devices (ISDs), ensuring accurate and efficient device registration. Sections 3 and 4 of this document detail </w:t>
      </w:r>
      <w:proofErr w:type="spellStart"/>
      <w:r w:rsidRPr="00BC1F6A">
        <w:t>Kutleng’s</w:t>
      </w:r>
      <w:proofErr w:type="spellEnd"/>
      <w:r w:rsidRPr="00BC1F6A">
        <w:t xml:space="preserve"> recommendations on channel widths and power classes, respectively. Furthermore, criteria such as population density and Living Standards Measure (LSM) classifications could be used to determine the optimal number of USSPs per region.</w:t>
      </w:r>
      <w:r w:rsidR="006E1E8D">
        <w:t xml:space="preserve"> </w:t>
      </w:r>
    </w:p>
    <w:p w14:paraId="50082F73" w14:textId="77777777" w:rsidR="00D00F76" w:rsidRPr="0022165B" w:rsidRDefault="00D00F76" w:rsidP="00382304"/>
    <w:p w14:paraId="09A70702" w14:textId="707676FC" w:rsidR="00B959F5" w:rsidRPr="0022165B" w:rsidRDefault="00791823" w:rsidP="00603F14">
      <w:pPr>
        <w:pStyle w:val="Heading1"/>
        <w:numPr>
          <w:ilvl w:val="0"/>
          <w:numId w:val="24"/>
        </w:numPr>
      </w:pPr>
      <w:r w:rsidRPr="0022165B">
        <w:t>Proposed Channel Widths</w:t>
      </w:r>
    </w:p>
    <w:p w14:paraId="6FD476E1" w14:textId="77777777" w:rsidR="00F80785" w:rsidRPr="0022165B" w:rsidRDefault="00F80785" w:rsidP="00382304"/>
    <w:p w14:paraId="1C2B3CEB" w14:textId="690A627C" w:rsidR="00F80785" w:rsidRPr="0022165B" w:rsidRDefault="00F8389E" w:rsidP="00382304">
      <w:r w:rsidRPr="0022165B">
        <w:t>For the ISFR bands, specifically ISFR 1</w:t>
      </w:r>
      <w:r w:rsidR="00BB46F4" w:rsidRPr="0022165B">
        <w:t xml:space="preserve">, we suggest the addition of </w:t>
      </w:r>
      <w:r w:rsidR="0046588A" w:rsidRPr="0022165B">
        <w:t xml:space="preserve">wider </w:t>
      </w:r>
      <w:r w:rsidR="00821AF3">
        <w:t xml:space="preserve">carrier </w:t>
      </w:r>
      <w:r w:rsidR="0046588A" w:rsidRPr="0022165B">
        <w:t xml:space="preserve">bandwidths. </w:t>
      </w:r>
      <w:r w:rsidR="001A4CBB" w:rsidRPr="0022165B">
        <w:t xml:space="preserve">The following </w:t>
      </w:r>
      <w:r w:rsidR="00821AF3">
        <w:t xml:space="preserve">carrier </w:t>
      </w:r>
      <w:r w:rsidR="002B24F4">
        <w:t>band</w:t>
      </w:r>
      <w:r w:rsidR="001A4CBB" w:rsidRPr="0022165B">
        <w:t xml:space="preserve">widths </w:t>
      </w:r>
      <w:r w:rsidR="005A634D" w:rsidRPr="0022165B">
        <w:t xml:space="preserve">are </w:t>
      </w:r>
      <w:r w:rsidR="00EF5D50" w:rsidRPr="0022165B">
        <w:t>suggested</w:t>
      </w:r>
      <w:r w:rsidR="00327FFA" w:rsidRPr="0022165B">
        <w:t xml:space="preserve"> for addition</w:t>
      </w:r>
      <w:r w:rsidR="00EF5D50" w:rsidRPr="0022165B">
        <w:t xml:space="preserve"> and are </w:t>
      </w:r>
      <w:r w:rsidR="0013348C" w:rsidRPr="0022165B">
        <w:t>in line</w:t>
      </w:r>
      <w:r w:rsidR="00EF5D50" w:rsidRPr="0022165B">
        <w:t xml:space="preserve"> with </w:t>
      </w:r>
      <w:r w:rsidR="002B24F4">
        <w:t xml:space="preserve">IMT </w:t>
      </w:r>
      <w:r w:rsidR="00EF5D50" w:rsidRPr="0022165B">
        <w:t xml:space="preserve">channel </w:t>
      </w:r>
      <w:r w:rsidR="002B24F4">
        <w:t>bandwidth</w:t>
      </w:r>
      <w:r w:rsidR="002F0D7B" w:rsidRPr="0022165B">
        <w:t>:</w:t>
      </w:r>
    </w:p>
    <w:p w14:paraId="2DB8DB5B" w14:textId="26F1E59E" w:rsidR="002F0D7B" w:rsidRPr="0022165B" w:rsidRDefault="002F0D7B" w:rsidP="002F0D7B">
      <w:pPr>
        <w:pStyle w:val="ListParagraph"/>
        <w:numPr>
          <w:ilvl w:val="0"/>
          <w:numId w:val="27"/>
        </w:numPr>
      </w:pPr>
      <w:r w:rsidRPr="0022165B">
        <w:t>60 MHz</w:t>
      </w:r>
    </w:p>
    <w:p w14:paraId="68125173" w14:textId="3BCD3390" w:rsidR="002F0D7B" w:rsidRPr="0022165B" w:rsidRDefault="002F0D7B" w:rsidP="002F0D7B">
      <w:pPr>
        <w:pStyle w:val="ListParagraph"/>
        <w:numPr>
          <w:ilvl w:val="0"/>
          <w:numId w:val="27"/>
        </w:numPr>
      </w:pPr>
      <w:r w:rsidRPr="0022165B">
        <w:t>80 MHz</w:t>
      </w:r>
    </w:p>
    <w:p w14:paraId="132B2527" w14:textId="17302CFD" w:rsidR="002F0D7B" w:rsidRPr="0022165B" w:rsidRDefault="002F0D7B" w:rsidP="002F0D7B">
      <w:pPr>
        <w:pStyle w:val="ListParagraph"/>
        <w:numPr>
          <w:ilvl w:val="0"/>
          <w:numId w:val="27"/>
        </w:numPr>
      </w:pPr>
      <w:r w:rsidRPr="0022165B">
        <w:t>100 MHz</w:t>
      </w:r>
    </w:p>
    <w:p w14:paraId="01465120" w14:textId="4F3D9261" w:rsidR="00C103F7" w:rsidRDefault="009A5E5F" w:rsidP="009A5E5F">
      <w:pPr>
        <w:jc w:val="both"/>
      </w:pPr>
      <w:r>
        <w:t>Kutleng recommends that the maximum bandwidth allocated to a single master operator within the ISFR1 band be capped at 100 MHz, assigned across contiguous channels in both rural and urban areas.</w:t>
      </w:r>
      <w:r>
        <w:t xml:space="preserve"> </w:t>
      </w:r>
      <w:r>
        <w:t>To prevent regional monopolization, this 100 MHz allocation should be granted only in regions where there is limited competition for spectrum access or where the spectrum coverage area is not highly contested.</w:t>
      </w:r>
      <w:r>
        <w:t xml:space="preserve"> </w:t>
      </w:r>
      <w:r>
        <w:t>The responsibility for overseeing and enforcing these allocation limits should lie with the Unified Spectrum Switch Provider (USSP), ensuring fair and balanced spectrum distribution</w:t>
      </w:r>
    </w:p>
    <w:p w14:paraId="3A2A162D" w14:textId="77777777" w:rsidR="003C398D" w:rsidRPr="0022165B" w:rsidRDefault="003C398D" w:rsidP="009A5E5F">
      <w:pPr>
        <w:jc w:val="both"/>
      </w:pPr>
    </w:p>
    <w:tbl>
      <w:tblPr>
        <w:tblStyle w:val="TableGrid"/>
        <w:tblW w:w="0" w:type="auto"/>
        <w:tblLook w:val="04A0" w:firstRow="1" w:lastRow="0" w:firstColumn="1" w:lastColumn="0" w:noHBand="0" w:noVBand="1"/>
      </w:tblPr>
      <w:tblGrid>
        <w:gridCol w:w="3358"/>
        <w:gridCol w:w="3359"/>
        <w:gridCol w:w="3359"/>
      </w:tblGrid>
      <w:tr w:rsidR="00B91F24" w:rsidRPr="0022165B" w14:paraId="62764B97" w14:textId="77777777" w:rsidTr="008A4DD3">
        <w:tc>
          <w:tcPr>
            <w:tcW w:w="3358" w:type="dxa"/>
            <w:shd w:val="clear" w:color="auto" w:fill="A6A6A6" w:themeFill="background1" w:themeFillShade="A6"/>
          </w:tcPr>
          <w:p w14:paraId="3EB425E9" w14:textId="77777777" w:rsidR="00B91F24" w:rsidRPr="0022165B" w:rsidRDefault="00B91F24" w:rsidP="008A4DD3"/>
        </w:tc>
        <w:tc>
          <w:tcPr>
            <w:tcW w:w="3359" w:type="dxa"/>
            <w:shd w:val="clear" w:color="auto" w:fill="A6A6A6" w:themeFill="background1" w:themeFillShade="A6"/>
          </w:tcPr>
          <w:p w14:paraId="201F369C" w14:textId="77777777" w:rsidR="00B91F24" w:rsidRPr="0022165B" w:rsidRDefault="00B91F24" w:rsidP="008A4DD3">
            <w:pPr>
              <w:rPr>
                <w:b/>
                <w:bCs/>
              </w:rPr>
            </w:pPr>
            <w:r w:rsidRPr="0022165B">
              <w:rPr>
                <w:b/>
                <w:bCs/>
              </w:rPr>
              <w:t>Urban Area</w:t>
            </w:r>
          </w:p>
        </w:tc>
        <w:tc>
          <w:tcPr>
            <w:tcW w:w="3359" w:type="dxa"/>
            <w:shd w:val="clear" w:color="auto" w:fill="A6A6A6" w:themeFill="background1" w:themeFillShade="A6"/>
          </w:tcPr>
          <w:p w14:paraId="687EC5C7" w14:textId="77777777" w:rsidR="00B91F24" w:rsidRPr="0022165B" w:rsidRDefault="00B91F24" w:rsidP="008A4DD3">
            <w:pPr>
              <w:rPr>
                <w:b/>
                <w:bCs/>
              </w:rPr>
            </w:pPr>
            <w:r w:rsidRPr="0022165B">
              <w:rPr>
                <w:b/>
                <w:bCs/>
              </w:rPr>
              <w:t>Rural Area</w:t>
            </w:r>
          </w:p>
        </w:tc>
      </w:tr>
      <w:tr w:rsidR="00B91F24" w:rsidRPr="0022165B" w14:paraId="79FD0369" w14:textId="77777777" w:rsidTr="008A4DD3">
        <w:tc>
          <w:tcPr>
            <w:tcW w:w="3358" w:type="dxa"/>
          </w:tcPr>
          <w:p w14:paraId="6F3EDA10" w14:textId="77777777" w:rsidR="00B91F24" w:rsidRPr="0022165B" w:rsidRDefault="00B91F24" w:rsidP="008A4DD3">
            <w:pPr>
              <w:rPr>
                <w:b/>
                <w:bCs/>
              </w:rPr>
            </w:pPr>
            <w:r w:rsidRPr="0022165B">
              <w:rPr>
                <w:b/>
                <w:bCs/>
              </w:rPr>
              <w:t>Maximum 10 MHz Contiguous Channels</w:t>
            </w:r>
          </w:p>
        </w:tc>
        <w:tc>
          <w:tcPr>
            <w:tcW w:w="3359" w:type="dxa"/>
          </w:tcPr>
          <w:p w14:paraId="59407B77" w14:textId="4374ECF5" w:rsidR="00B91F24" w:rsidRPr="0022165B" w:rsidRDefault="00A757C9" w:rsidP="008A4DD3">
            <w:r>
              <w:t>10</w:t>
            </w:r>
          </w:p>
        </w:tc>
        <w:tc>
          <w:tcPr>
            <w:tcW w:w="3359" w:type="dxa"/>
          </w:tcPr>
          <w:p w14:paraId="19CD748D" w14:textId="77777777" w:rsidR="00B91F24" w:rsidRPr="0022165B" w:rsidRDefault="00B91F24" w:rsidP="008A4DD3">
            <w:r w:rsidRPr="0022165B">
              <w:t>10</w:t>
            </w:r>
          </w:p>
        </w:tc>
      </w:tr>
      <w:tr w:rsidR="00B91F24" w:rsidRPr="0022165B" w14:paraId="59ECF55C" w14:textId="77777777" w:rsidTr="008A4DD3">
        <w:tc>
          <w:tcPr>
            <w:tcW w:w="3358" w:type="dxa"/>
          </w:tcPr>
          <w:p w14:paraId="7A78CA34" w14:textId="77777777" w:rsidR="00B91F24" w:rsidRPr="0022165B" w:rsidRDefault="00B91F24" w:rsidP="008A4DD3">
            <w:pPr>
              <w:rPr>
                <w:b/>
                <w:bCs/>
              </w:rPr>
            </w:pPr>
            <w:r w:rsidRPr="0022165B">
              <w:rPr>
                <w:b/>
                <w:bCs/>
              </w:rPr>
              <w:t>Maximum Bandwidth</w:t>
            </w:r>
          </w:p>
        </w:tc>
        <w:tc>
          <w:tcPr>
            <w:tcW w:w="3359" w:type="dxa"/>
          </w:tcPr>
          <w:p w14:paraId="06F21EDC" w14:textId="44B07B3D" w:rsidR="00B91F24" w:rsidRPr="0022165B" w:rsidRDefault="00A757C9" w:rsidP="008A4DD3">
            <w:r>
              <w:t>10</w:t>
            </w:r>
            <w:r w:rsidR="00B91F24" w:rsidRPr="0022165B">
              <w:t>0 MHz</w:t>
            </w:r>
          </w:p>
        </w:tc>
        <w:tc>
          <w:tcPr>
            <w:tcW w:w="3359" w:type="dxa"/>
          </w:tcPr>
          <w:p w14:paraId="11969C0A" w14:textId="77777777" w:rsidR="00B91F24" w:rsidRPr="0022165B" w:rsidRDefault="00B91F24" w:rsidP="008A4DD3">
            <w:pPr>
              <w:keepNext/>
            </w:pPr>
            <w:r w:rsidRPr="0022165B">
              <w:t>100 MHz</w:t>
            </w:r>
          </w:p>
        </w:tc>
      </w:tr>
    </w:tbl>
    <w:p w14:paraId="3D5130CA" w14:textId="4C948938" w:rsidR="00B91F24" w:rsidRPr="0022165B" w:rsidRDefault="00B91F24" w:rsidP="002A1FFC">
      <w:pPr>
        <w:pStyle w:val="Caption"/>
        <w:jc w:val="center"/>
      </w:pPr>
      <w:bookmarkStart w:id="0" w:name="_Ref199429418"/>
      <w:r w:rsidRPr="0022165B">
        <w:t xml:space="preserve">Table </w:t>
      </w:r>
      <w:r w:rsidRPr="0022165B">
        <w:fldChar w:fldCharType="begin"/>
      </w:r>
      <w:r w:rsidRPr="0022165B">
        <w:instrText xml:space="preserve"> SEQ Table \* ARABIC </w:instrText>
      </w:r>
      <w:r w:rsidRPr="0022165B">
        <w:fldChar w:fldCharType="separate"/>
      </w:r>
      <w:r w:rsidR="001D2A35">
        <w:rPr>
          <w:noProof/>
        </w:rPr>
        <w:t>1</w:t>
      </w:r>
      <w:r w:rsidRPr="0022165B">
        <w:fldChar w:fldCharType="end"/>
      </w:r>
      <w:bookmarkEnd w:id="0"/>
      <w:r w:rsidRPr="0022165B">
        <w:t>: Proposed Maximum Bandwidths</w:t>
      </w:r>
    </w:p>
    <w:p w14:paraId="7C836D04" w14:textId="60EDA97B" w:rsidR="00B959F5" w:rsidRPr="0022165B" w:rsidRDefault="00791823" w:rsidP="00603F14">
      <w:pPr>
        <w:pStyle w:val="Heading1"/>
        <w:numPr>
          <w:ilvl w:val="0"/>
          <w:numId w:val="24"/>
        </w:numPr>
      </w:pPr>
      <w:r w:rsidRPr="0022165B">
        <w:t>Proposed Power Classes</w:t>
      </w:r>
    </w:p>
    <w:p w14:paraId="4532F552" w14:textId="77777777" w:rsidR="00791823" w:rsidRPr="0022165B" w:rsidRDefault="00791823" w:rsidP="00791823"/>
    <w:p w14:paraId="41A54636" w14:textId="675D5325" w:rsidR="00B959F5" w:rsidRPr="0022165B" w:rsidRDefault="006C4E1C" w:rsidP="00382304">
      <w:r w:rsidRPr="0022165B">
        <w:t>The power classes shown in</w:t>
      </w:r>
      <w:r w:rsidR="006A164E" w:rsidRPr="0022165B">
        <w:t xml:space="preserve"> </w:t>
      </w:r>
      <w:r w:rsidR="00C86069" w:rsidRPr="0022165B">
        <w:fldChar w:fldCharType="begin"/>
      </w:r>
      <w:r w:rsidR="00C86069" w:rsidRPr="0022165B">
        <w:instrText xml:space="preserve"> REF _Ref199347470 \h </w:instrText>
      </w:r>
      <w:r w:rsidR="00C86069" w:rsidRPr="0022165B">
        <w:fldChar w:fldCharType="separate"/>
      </w:r>
      <w:r w:rsidR="001D2A35" w:rsidRPr="0022165B">
        <w:t xml:space="preserve">Table </w:t>
      </w:r>
      <w:r w:rsidR="001D2A35">
        <w:rPr>
          <w:noProof/>
        </w:rPr>
        <w:t>2</w:t>
      </w:r>
      <w:r w:rsidR="00C86069" w:rsidRPr="0022165B">
        <w:fldChar w:fldCharType="end"/>
      </w:r>
      <w:r w:rsidR="00C86069" w:rsidRPr="0022165B">
        <w:t xml:space="preserve"> </w:t>
      </w:r>
      <w:r w:rsidR="00673CF4" w:rsidRPr="0022165B">
        <w:t xml:space="preserve">are proposed for areas where there are </w:t>
      </w:r>
      <w:r w:rsidR="00415C76">
        <w:t xml:space="preserve">no </w:t>
      </w:r>
      <w:r w:rsidR="005A5646" w:rsidRPr="0022165B">
        <w:t xml:space="preserve">Fixed </w:t>
      </w:r>
      <w:r w:rsidR="009A617D" w:rsidRPr="0022165B">
        <w:t>Satellite</w:t>
      </w:r>
      <w:r w:rsidR="005A5646" w:rsidRPr="0022165B">
        <w:t xml:space="preserve"> Servi</w:t>
      </w:r>
      <w:r w:rsidR="009A617D" w:rsidRPr="0022165B">
        <w:t>ces (FSS)</w:t>
      </w:r>
      <w:r w:rsidR="00697BD7" w:rsidRPr="0022165B">
        <w:t xml:space="preserve">. For the areas where </w:t>
      </w:r>
      <w:r w:rsidR="009A5E5F" w:rsidRPr="0022165B">
        <w:t xml:space="preserve">FSS </w:t>
      </w:r>
      <w:r w:rsidR="009A5E5F">
        <w:t>is</w:t>
      </w:r>
      <w:r w:rsidR="00BD2B29">
        <w:t xml:space="preserve"> </w:t>
      </w:r>
      <w:r w:rsidR="00697BD7" w:rsidRPr="0022165B">
        <w:t xml:space="preserve">present, Kutleng proposes that the </w:t>
      </w:r>
      <w:r w:rsidR="00BD1AEC" w:rsidRPr="0022165B">
        <w:t xml:space="preserve">standard power classes be </w:t>
      </w:r>
      <w:r w:rsidR="00626278" w:rsidRPr="0022165B">
        <w:t xml:space="preserve">implemented, as observed in </w:t>
      </w:r>
      <w:r w:rsidR="0093092B" w:rsidRPr="0022165B">
        <w:t>section 5 of</w:t>
      </w:r>
      <w:r w:rsidR="00DD2E98" w:rsidRPr="0022165B">
        <w:t xml:space="preserve"> </w:t>
      </w:r>
      <w:r w:rsidR="00EB1765">
        <w:t>the draft regulation.</w:t>
      </w:r>
    </w:p>
    <w:p w14:paraId="66850789" w14:textId="77777777" w:rsidR="00BF3097" w:rsidRPr="0022165B" w:rsidRDefault="00BF3097" w:rsidP="00382304"/>
    <w:tbl>
      <w:tblPr>
        <w:tblStyle w:val="TableGrid"/>
        <w:tblW w:w="0" w:type="auto"/>
        <w:tblLook w:val="04A0" w:firstRow="1" w:lastRow="0" w:firstColumn="1" w:lastColumn="0" w:noHBand="0" w:noVBand="1"/>
      </w:tblPr>
      <w:tblGrid>
        <w:gridCol w:w="5038"/>
        <w:gridCol w:w="5038"/>
      </w:tblGrid>
      <w:tr w:rsidR="005A5C13" w:rsidRPr="0022165B" w14:paraId="196803FD" w14:textId="77777777" w:rsidTr="001063BF">
        <w:tc>
          <w:tcPr>
            <w:tcW w:w="10076" w:type="dxa"/>
            <w:gridSpan w:val="2"/>
            <w:shd w:val="clear" w:color="auto" w:fill="A6A6A6" w:themeFill="background1" w:themeFillShade="A6"/>
          </w:tcPr>
          <w:p w14:paraId="1A3C6128" w14:textId="72CE8742" w:rsidR="005A5C13" w:rsidRPr="0022165B" w:rsidRDefault="00C40FFF" w:rsidP="006E3D83">
            <w:pPr>
              <w:spacing w:after="100"/>
              <w:rPr>
                <w:b/>
                <w:bCs/>
              </w:rPr>
            </w:pPr>
            <w:r w:rsidRPr="0022165B">
              <w:rPr>
                <w:b/>
                <w:bCs/>
              </w:rPr>
              <w:t>Rural</w:t>
            </w:r>
            <w:r w:rsidR="005A5C13" w:rsidRPr="0022165B">
              <w:rPr>
                <w:b/>
                <w:bCs/>
              </w:rPr>
              <w:t xml:space="preserve"> Coverage</w:t>
            </w:r>
            <w:r w:rsidR="00D07456">
              <w:rPr>
                <w:b/>
                <w:bCs/>
              </w:rPr>
              <w:t xml:space="preserve"> (Outdoor)</w:t>
            </w:r>
          </w:p>
        </w:tc>
      </w:tr>
      <w:tr w:rsidR="00014DB7" w:rsidRPr="0022165B" w14:paraId="3A0C2F6A" w14:textId="77777777" w:rsidTr="00014DB7">
        <w:tc>
          <w:tcPr>
            <w:tcW w:w="5038" w:type="dxa"/>
          </w:tcPr>
          <w:p w14:paraId="466DCD30" w14:textId="51EF43A5" w:rsidR="00014DB7" w:rsidRPr="0022165B" w:rsidRDefault="00A77956" w:rsidP="006E3D83">
            <w:pPr>
              <w:spacing w:after="100"/>
            </w:pPr>
            <w:r w:rsidRPr="0022165B">
              <w:t>EIRP</w:t>
            </w:r>
            <w:r w:rsidR="00D757AC">
              <w:t xml:space="preserve"> (Master Devices)</w:t>
            </w:r>
          </w:p>
        </w:tc>
        <w:tc>
          <w:tcPr>
            <w:tcW w:w="5038" w:type="dxa"/>
          </w:tcPr>
          <w:p w14:paraId="7D6580D4" w14:textId="5D45F35D" w:rsidR="00014DB7" w:rsidRPr="0022165B" w:rsidRDefault="00B311C3" w:rsidP="006E3D83">
            <w:pPr>
              <w:spacing w:after="100"/>
            </w:pPr>
            <w:r w:rsidRPr="0022165B">
              <w:t>61</w:t>
            </w:r>
            <w:r w:rsidR="00A77956" w:rsidRPr="0022165B">
              <w:t>dBm/5MHz</w:t>
            </w:r>
          </w:p>
        </w:tc>
      </w:tr>
      <w:tr w:rsidR="00014DB7" w:rsidRPr="0022165B" w14:paraId="7BE72AB0" w14:textId="77777777" w:rsidTr="00014DB7">
        <w:tc>
          <w:tcPr>
            <w:tcW w:w="5038" w:type="dxa"/>
          </w:tcPr>
          <w:p w14:paraId="0083CCA7" w14:textId="600927A3" w:rsidR="00014DB7" w:rsidRPr="0022165B" w:rsidRDefault="008F6E5D" w:rsidP="006E3D83">
            <w:pPr>
              <w:spacing w:after="100"/>
            </w:pPr>
            <w:r w:rsidRPr="0022165B">
              <w:t>CPE/User-</w:t>
            </w:r>
            <w:r w:rsidR="00F80F79" w:rsidRPr="0022165B">
              <w:t>E</w:t>
            </w:r>
            <w:r w:rsidRPr="0022165B">
              <w:t>quipment(UE</w:t>
            </w:r>
            <w:r w:rsidR="00D757AC">
              <w:t xml:space="preserve">/ </w:t>
            </w:r>
            <w:r w:rsidR="009F660C">
              <w:t>ISD</w:t>
            </w:r>
            <w:r w:rsidRPr="0022165B">
              <w:t>)</w:t>
            </w:r>
          </w:p>
        </w:tc>
        <w:tc>
          <w:tcPr>
            <w:tcW w:w="5038" w:type="dxa"/>
          </w:tcPr>
          <w:p w14:paraId="5B4EDFA9" w14:textId="3B7D6B34" w:rsidR="00014DB7" w:rsidRPr="0022165B" w:rsidRDefault="008F6E5D" w:rsidP="006E3D83">
            <w:pPr>
              <w:spacing w:after="100"/>
            </w:pPr>
            <w:r w:rsidRPr="0022165B">
              <w:t>26dBm</w:t>
            </w:r>
            <w:r w:rsidR="00624E2D" w:rsidRPr="0022165B">
              <w:t xml:space="preserve"> TRP</w:t>
            </w:r>
          </w:p>
        </w:tc>
      </w:tr>
      <w:tr w:rsidR="00C95725" w:rsidRPr="0022165B" w14:paraId="204843B4" w14:textId="77777777" w:rsidTr="001063BF">
        <w:tc>
          <w:tcPr>
            <w:tcW w:w="10076" w:type="dxa"/>
            <w:gridSpan w:val="2"/>
            <w:shd w:val="clear" w:color="auto" w:fill="A6A6A6" w:themeFill="background1" w:themeFillShade="A6"/>
          </w:tcPr>
          <w:p w14:paraId="5319CFDD" w14:textId="67649E96" w:rsidR="00C95725" w:rsidRPr="0022165B" w:rsidRDefault="00C40FFF" w:rsidP="006E3D83">
            <w:pPr>
              <w:spacing w:after="100"/>
              <w:rPr>
                <w:b/>
                <w:bCs/>
              </w:rPr>
            </w:pPr>
            <w:r w:rsidRPr="0022165B">
              <w:rPr>
                <w:b/>
                <w:bCs/>
              </w:rPr>
              <w:t xml:space="preserve">Urban </w:t>
            </w:r>
            <w:r w:rsidR="00C95725" w:rsidRPr="0022165B">
              <w:rPr>
                <w:b/>
                <w:bCs/>
              </w:rPr>
              <w:t>Coverage</w:t>
            </w:r>
            <w:r w:rsidR="00D07456">
              <w:rPr>
                <w:b/>
                <w:bCs/>
              </w:rPr>
              <w:t xml:space="preserve"> (Outdoor)</w:t>
            </w:r>
          </w:p>
        </w:tc>
      </w:tr>
      <w:tr w:rsidR="00C95725" w:rsidRPr="0022165B" w14:paraId="60E618C8" w14:textId="77777777" w:rsidTr="00014DB7">
        <w:tc>
          <w:tcPr>
            <w:tcW w:w="5038" w:type="dxa"/>
          </w:tcPr>
          <w:p w14:paraId="598D1197" w14:textId="2877D1AD" w:rsidR="00C95725" w:rsidRPr="0022165B" w:rsidRDefault="00C95725" w:rsidP="006E3D83">
            <w:pPr>
              <w:spacing w:after="100"/>
            </w:pPr>
            <w:r w:rsidRPr="0022165B">
              <w:t>EIRP</w:t>
            </w:r>
            <w:r w:rsidR="00D757AC">
              <w:t xml:space="preserve"> (Master Devices)</w:t>
            </w:r>
          </w:p>
        </w:tc>
        <w:tc>
          <w:tcPr>
            <w:tcW w:w="5038" w:type="dxa"/>
          </w:tcPr>
          <w:p w14:paraId="13E8B14A" w14:textId="7E050432" w:rsidR="00C95725" w:rsidRPr="0022165B" w:rsidRDefault="00B311C3" w:rsidP="006E3D83">
            <w:pPr>
              <w:spacing w:after="100"/>
            </w:pPr>
            <w:r w:rsidRPr="0022165B">
              <w:t>55</w:t>
            </w:r>
            <w:r w:rsidR="00C95725" w:rsidRPr="0022165B">
              <w:t>dBm/5MHz</w:t>
            </w:r>
          </w:p>
        </w:tc>
      </w:tr>
      <w:tr w:rsidR="00C95725" w:rsidRPr="0022165B" w14:paraId="4A2F517E" w14:textId="77777777" w:rsidTr="00014DB7">
        <w:tc>
          <w:tcPr>
            <w:tcW w:w="5038" w:type="dxa"/>
          </w:tcPr>
          <w:p w14:paraId="27A61C67" w14:textId="0273A0B3" w:rsidR="00C95725" w:rsidRPr="0022165B" w:rsidRDefault="00C95725" w:rsidP="006E3D83">
            <w:pPr>
              <w:spacing w:after="100"/>
            </w:pPr>
            <w:r w:rsidRPr="0022165B">
              <w:t>CPE/User-</w:t>
            </w:r>
            <w:r w:rsidR="00F80F79" w:rsidRPr="0022165B">
              <w:t>E</w:t>
            </w:r>
            <w:r w:rsidRPr="0022165B">
              <w:t>quipment(UE</w:t>
            </w:r>
            <w:r w:rsidR="009F660C">
              <w:t>/ ISD</w:t>
            </w:r>
            <w:r w:rsidR="006A164E" w:rsidRPr="0022165B">
              <w:t>)</w:t>
            </w:r>
          </w:p>
        </w:tc>
        <w:tc>
          <w:tcPr>
            <w:tcW w:w="5038" w:type="dxa"/>
          </w:tcPr>
          <w:p w14:paraId="2A9C532B" w14:textId="479A89A1" w:rsidR="00C95725" w:rsidRPr="0022165B" w:rsidRDefault="00C95725" w:rsidP="006E3D83">
            <w:pPr>
              <w:spacing w:after="100"/>
            </w:pPr>
            <w:r w:rsidRPr="0022165B">
              <w:t>26dBm TRP</w:t>
            </w:r>
          </w:p>
        </w:tc>
      </w:tr>
      <w:tr w:rsidR="00E25B08" w:rsidRPr="0022165B" w14:paraId="7ECBF10E" w14:textId="77777777" w:rsidTr="001063BF">
        <w:tc>
          <w:tcPr>
            <w:tcW w:w="10076" w:type="dxa"/>
            <w:gridSpan w:val="2"/>
            <w:shd w:val="clear" w:color="auto" w:fill="A6A6A6" w:themeFill="background1" w:themeFillShade="A6"/>
          </w:tcPr>
          <w:p w14:paraId="4D52DBED" w14:textId="12D417BA" w:rsidR="00E25B08" w:rsidRPr="0022165B" w:rsidRDefault="00560545" w:rsidP="006E3D83">
            <w:pPr>
              <w:spacing w:after="100"/>
              <w:rPr>
                <w:b/>
                <w:bCs/>
              </w:rPr>
            </w:pPr>
            <w:r w:rsidRPr="0022165B">
              <w:rPr>
                <w:b/>
                <w:bCs/>
              </w:rPr>
              <w:t>Industrial/Private Corporate Networks</w:t>
            </w:r>
            <w:r w:rsidR="00D07456">
              <w:rPr>
                <w:b/>
                <w:bCs/>
              </w:rPr>
              <w:t>/ Indoor user</w:t>
            </w:r>
          </w:p>
        </w:tc>
      </w:tr>
      <w:tr w:rsidR="00560545" w:rsidRPr="0022165B" w14:paraId="1498F4A1" w14:textId="77777777" w:rsidTr="00014DB7">
        <w:tc>
          <w:tcPr>
            <w:tcW w:w="5038" w:type="dxa"/>
          </w:tcPr>
          <w:p w14:paraId="01FAC95D" w14:textId="41CB090A" w:rsidR="00560545" w:rsidRPr="0022165B" w:rsidRDefault="00D07456" w:rsidP="006E3D83">
            <w:pPr>
              <w:spacing w:after="100"/>
            </w:pPr>
            <w:r>
              <w:t>EIRP</w:t>
            </w:r>
            <w:r w:rsidR="00D757AC">
              <w:t xml:space="preserve"> (Master Devices)</w:t>
            </w:r>
          </w:p>
        </w:tc>
        <w:tc>
          <w:tcPr>
            <w:tcW w:w="5038" w:type="dxa"/>
          </w:tcPr>
          <w:p w14:paraId="0D0BB12E" w14:textId="4F328C71" w:rsidR="00560545" w:rsidRPr="0022165B" w:rsidRDefault="00560545" w:rsidP="006E3D83">
            <w:pPr>
              <w:spacing w:after="100"/>
            </w:pPr>
            <w:r w:rsidRPr="0022165B">
              <w:t>30dBm/5MHz</w:t>
            </w:r>
          </w:p>
        </w:tc>
      </w:tr>
      <w:tr w:rsidR="00560545" w:rsidRPr="0022165B" w14:paraId="09BC2381" w14:textId="77777777" w:rsidTr="00014DB7">
        <w:tc>
          <w:tcPr>
            <w:tcW w:w="5038" w:type="dxa"/>
          </w:tcPr>
          <w:p w14:paraId="2ED84A87" w14:textId="17A4E1D1" w:rsidR="00560545" w:rsidRPr="0022165B" w:rsidRDefault="00560545" w:rsidP="006E3D83">
            <w:pPr>
              <w:spacing w:after="100"/>
            </w:pPr>
            <w:r w:rsidRPr="0022165B">
              <w:t>CPE/User-</w:t>
            </w:r>
            <w:r w:rsidR="00F80F79" w:rsidRPr="0022165B">
              <w:t>E</w:t>
            </w:r>
            <w:r w:rsidRPr="0022165B">
              <w:t>quipment(UE</w:t>
            </w:r>
            <w:r w:rsidR="009F660C">
              <w:t>/ ISD</w:t>
            </w:r>
            <w:r w:rsidRPr="0022165B">
              <w:t>)</w:t>
            </w:r>
          </w:p>
        </w:tc>
        <w:tc>
          <w:tcPr>
            <w:tcW w:w="5038" w:type="dxa"/>
          </w:tcPr>
          <w:p w14:paraId="3AAFEA4B" w14:textId="5826692F" w:rsidR="00560545" w:rsidRPr="0022165B" w:rsidRDefault="00560545" w:rsidP="006A164E">
            <w:pPr>
              <w:keepNext/>
              <w:spacing w:after="100"/>
            </w:pPr>
            <w:r w:rsidRPr="0022165B">
              <w:t>26dBm</w:t>
            </w:r>
          </w:p>
        </w:tc>
      </w:tr>
    </w:tbl>
    <w:p w14:paraId="5D77F298" w14:textId="6A090F14" w:rsidR="00BF3097" w:rsidRPr="0022165B" w:rsidRDefault="006A164E" w:rsidP="006A164E">
      <w:pPr>
        <w:pStyle w:val="Caption"/>
        <w:jc w:val="center"/>
      </w:pPr>
      <w:bookmarkStart w:id="1" w:name="_Ref199347470"/>
      <w:r w:rsidRPr="0022165B">
        <w:t xml:space="preserve">Table </w:t>
      </w:r>
      <w:r w:rsidRPr="0022165B">
        <w:fldChar w:fldCharType="begin"/>
      </w:r>
      <w:r w:rsidRPr="0022165B">
        <w:instrText xml:space="preserve"> SEQ Table \* ARABIC </w:instrText>
      </w:r>
      <w:r w:rsidRPr="0022165B">
        <w:fldChar w:fldCharType="separate"/>
      </w:r>
      <w:r w:rsidR="001D2A35">
        <w:rPr>
          <w:noProof/>
        </w:rPr>
        <w:t>2</w:t>
      </w:r>
      <w:r w:rsidRPr="0022165B">
        <w:fldChar w:fldCharType="end"/>
      </w:r>
      <w:bookmarkEnd w:id="1"/>
      <w:r w:rsidRPr="0022165B">
        <w:t>:</w:t>
      </w:r>
      <w:r w:rsidR="00123EBF" w:rsidRPr="0022165B">
        <w:t xml:space="preserve"> </w:t>
      </w:r>
      <w:proofErr w:type="spellStart"/>
      <w:r w:rsidRPr="0022165B">
        <w:t>Kutleng's</w:t>
      </w:r>
      <w:proofErr w:type="spellEnd"/>
      <w:r w:rsidRPr="0022165B">
        <w:t xml:space="preserve"> suggested power classes</w:t>
      </w:r>
      <w:r w:rsidR="004651E1">
        <w:t xml:space="preserve"> for </w:t>
      </w:r>
      <w:r w:rsidR="00B2516A">
        <w:t>non FSS areas</w:t>
      </w:r>
    </w:p>
    <w:p w14:paraId="4A356507" w14:textId="77777777" w:rsidR="00A6276F" w:rsidRPr="0022165B" w:rsidRDefault="00A6276F" w:rsidP="002555B3"/>
    <w:p w14:paraId="65329C2E" w14:textId="6AAF6636" w:rsidR="002555B3" w:rsidRDefault="00F52996" w:rsidP="00F52996">
      <w:pPr>
        <w:jc w:val="both"/>
      </w:pPr>
      <w:r>
        <w:t>Kutleng recommends the establishment of distinct power classes for Innovation Spectrum Devices (ISDs), tailored to their device types, use cases, and deployment scenarios. This approach will enable more effective utilization and regulation of the innovation spectrum, ensuring it aligns with its intended equity and accessibility mandate.</w:t>
      </w:r>
      <w:r w:rsidR="00C048D0">
        <w:t xml:space="preserve"> </w:t>
      </w:r>
      <w:r>
        <w:t>Imposing overly restrictive power limits on Dynamic Spectrum Access (DSA) could risk rendering DSA-based services inferior to those operating under traditional spectrum allocations, as has been observed in other regulatory categories</w:t>
      </w:r>
      <w:r w:rsidR="00BE6B73">
        <w:t xml:space="preserve"> </w:t>
      </w:r>
      <w:r w:rsidR="00C048D0">
        <w:t>like CBRS.</w:t>
      </w:r>
    </w:p>
    <w:p w14:paraId="05336282" w14:textId="77777777" w:rsidR="009F1AF1" w:rsidRDefault="009F1AF1" w:rsidP="00F52996">
      <w:pPr>
        <w:jc w:val="both"/>
      </w:pPr>
    </w:p>
    <w:p w14:paraId="620A9448" w14:textId="77777777" w:rsidR="009F1AF1" w:rsidRDefault="009F1AF1" w:rsidP="00F52996">
      <w:pPr>
        <w:jc w:val="both"/>
      </w:pPr>
    </w:p>
    <w:p w14:paraId="2C58DD78" w14:textId="77777777" w:rsidR="007B2F3F" w:rsidRPr="0022165B" w:rsidRDefault="007B2F3F" w:rsidP="00F52996">
      <w:pPr>
        <w:jc w:val="both"/>
      </w:pPr>
    </w:p>
    <w:p w14:paraId="613931F5" w14:textId="1B7ED13C" w:rsidR="0075131A" w:rsidRPr="0022165B" w:rsidRDefault="0075131A" w:rsidP="0075131A">
      <w:pPr>
        <w:pStyle w:val="Heading1"/>
        <w:numPr>
          <w:ilvl w:val="0"/>
          <w:numId w:val="24"/>
        </w:numPr>
      </w:pPr>
      <w:r>
        <w:t xml:space="preserve">Conclusion </w:t>
      </w:r>
    </w:p>
    <w:p w14:paraId="3934E913" w14:textId="77777777" w:rsidR="0075131A" w:rsidRDefault="0075131A" w:rsidP="00AE4064"/>
    <w:p w14:paraId="2DBF8F65" w14:textId="2F7B3628" w:rsidR="0075131A" w:rsidRDefault="00A26A0D" w:rsidP="00A26A0D">
      <w:pPr>
        <w:jc w:val="both"/>
      </w:pPr>
      <w:r w:rsidRPr="00A26A0D">
        <w:t>Kutleng commends ICASA for its visionary and groundbreaking proposal on Dynamic Spectrum Access (DSA). If implemented effectively—with a focus on empowering equitable spectrum access and fostering sustainable enterprise—this initiative has the potential to become a powerful catalyst for economic growth and value creation in South Africa</w:t>
      </w:r>
      <w:r w:rsidR="001943D9">
        <w:t>.</w:t>
      </w:r>
    </w:p>
    <w:p w14:paraId="2F743C08" w14:textId="024BB0B3" w:rsidR="001943D9" w:rsidRDefault="001943D9" w:rsidP="00AE4064"/>
    <w:p w14:paraId="1A595F21" w14:textId="77777777" w:rsidR="00FE75CF" w:rsidRDefault="00FE75CF" w:rsidP="00FE75CF">
      <w:pPr>
        <w:rPr>
          <w:szCs w:val="16"/>
        </w:rPr>
      </w:pPr>
    </w:p>
    <w:p w14:paraId="3BAFCF9F" w14:textId="53B665F7" w:rsidR="00B72DC6" w:rsidRPr="0075263F" w:rsidRDefault="00B72DC6" w:rsidP="00FE75CF">
      <w:pPr>
        <w:rPr>
          <w:szCs w:val="16"/>
        </w:rPr>
      </w:pPr>
    </w:p>
    <w:p w14:paraId="1A9C372F" w14:textId="20691B8C" w:rsidR="00FE75CF" w:rsidRDefault="00B72DC6" w:rsidP="00B72DC6">
      <w:pPr>
        <w:adjustRightInd w:val="0"/>
        <w:rPr>
          <w:szCs w:val="16"/>
        </w:rPr>
      </w:pPr>
      <w:r w:rsidRPr="0075263F">
        <w:rPr>
          <w:szCs w:val="16"/>
        </w:rPr>
        <w:t>___________________</w:t>
      </w:r>
      <w:r>
        <w:rPr>
          <w:szCs w:val="16"/>
        </w:rPr>
        <w:t>_______</w:t>
      </w:r>
    </w:p>
    <w:p w14:paraId="126BD488" w14:textId="37BC6EF9" w:rsidR="001943D9" w:rsidRDefault="00B72DC6" w:rsidP="00A916F2">
      <w:pPr>
        <w:adjustRightInd w:val="0"/>
        <w:rPr>
          <w:szCs w:val="16"/>
        </w:rPr>
      </w:pPr>
      <w:r w:rsidRPr="00737280">
        <w:rPr>
          <w:szCs w:val="16"/>
        </w:rPr>
        <w:t xml:space="preserve">Mr. </w:t>
      </w:r>
      <w:r>
        <w:rPr>
          <w:szCs w:val="16"/>
        </w:rPr>
        <w:t>Benjamin</w:t>
      </w:r>
      <w:r w:rsidRPr="00737280">
        <w:rPr>
          <w:szCs w:val="16"/>
        </w:rPr>
        <w:t xml:space="preserve"> </w:t>
      </w:r>
      <w:r>
        <w:rPr>
          <w:szCs w:val="16"/>
        </w:rPr>
        <w:t>Hlophe</w:t>
      </w:r>
      <w:r w:rsidR="00FE75CF">
        <w:rPr>
          <w:szCs w:val="16"/>
        </w:rPr>
        <w:t xml:space="preserve"> (Managing Director – Kutleng Dynamic Electronics Systems (Pty) Ltd)</w:t>
      </w:r>
    </w:p>
    <w:p w14:paraId="24C1CE8E" w14:textId="77777777" w:rsidR="00464EDF" w:rsidRDefault="00464EDF" w:rsidP="00A916F2">
      <w:pPr>
        <w:adjustRightInd w:val="0"/>
        <w:rPr>
          <w:szCs w:val="16"/>
        </w:rPr>
      </w:pPr>
    </w:p>
    <w:p w14:paraId="2800A0EC" w14:textId="3B2A425F" w:rsidR="00464EDF" w:rsidRDefault="00464EDF" w:rsidP="00A916F2">
      <w:pPr>
        <w:adjustRightInd w:val="0"/>
        <w:rPr>
          <w:szCs w:val="16"/>
        </w:rPr>
      </w:pPr>
      <w:r w:rsidRPr="0075263F">
        <w:rPr>
          <w:szCs w:val="16"/>
        </w:rPr>
        <w:t>Date: ___</w:t>
      </w:r>
      <w:r>
        <w:rPr>
          <w:szCs w:val="16"/>
          <w:u w:val="single"/>
        </w:rPr>
        <w:t>29/05/2025</w:t>
      </w:r>
      <w:r w:rsidRPr="0075263F">
        <w:rPr>
          <w:szCs w:val="16"/>
        </w:rPr>
        <w:t>_</w:t>
      </w:r>
      <w:r>
        <w:rPr>
          <w:szCs w:val="16"/>
        </w:rPr>
        <w:t>_____</w:t>
      </w:r>
    </w:p>
    <w:p w14:paraId="15A0C629" w14:textId="77777777" w:rsidR="00F3004F" w:rsidRDefault="00F3004F" w:rsidP="00A916F2">
      <w:pPr>
        <w:adjustRightInd w:val="0"/>
        <w:rPr>
          <w:szCs w:val="16"/>
        </w:rPr>
      </w:pPr>
    </w:p>
    <w:p w14:paraId="44B75CEA" w14:textId="539AD660" w:rsidR="00F3004F" w:rsidRDefault="00F3004F" w:rsidP="00A916F2">
      <w:pPr>
        <w:adjustRightInd w:val="0"/>
        <w:rPr>
          <w:szCs w:val="16"/>
        </w:rPr>
      </w:pPr>
      <w:r>
        <w:rPr>
          <w:szCs w:val="16"/>
        </w:rPr>
        <w:t>Contributors:</w:t>
      </w:r>
    </w:p>
    <w:p w14:paraId="1CF5569F" w14:textId="77777777" w:rsidR="00F3004F" w:rsidRDefault="00F3004F" w:rsidP="00A916F2">
      <w:pPr>
        <w:adjustRightInd w:val="0"/>
        <w:rPr>
          <w:szCs w:val="16"/>
        </w:rPr>
      </w:pPr>
    </w:p>
    <w:p w14:paraId="6C946F09" w14:textId="500262CE" w:rsidR="00F3004F" w:rsidRDefault="00F3004F" w:rsidP="00A916F2">
      <w:pPr>
        <w:adjustRightInd w:val="0"/>
        <w:rPr>
          <w:szCs w:val="16"/>
        </w:rPr>
      </w:pPr>
      <w:r>
        <w:rPr>
          <w:szCs w:val="16"/>
        </w:rPr>
        <w:t>Mr Benjamin Hlophe – Masters in Electronic Engineering</w:t>
      </w:r>
    </w:p>
    <w:p w14:paraId="78312C9F" w14:textId="549047DF" w:rsidR="00F3004F" w:rsidRDefault="00F3004F" w:rsidP="00A916F2">
      <w:pPr>
        <w:adjustRightInd w:val="0"/>
        <w:rPr>
          <w:szCs w:val="16"/>
        </w:rPr>
      </w:pPr>
      <w:r>
        <w:rPr>
          <w:szCs w:val="16"/>
        </w:rPr>
        <w:t>Mr Zenzele Xaba – Beng Electronic Engineering</w:t>
      </w:r>
    </w:p>
    <w:p w14:paraId="6F744F46" w14:textId="4291D8F1" w:rsidR="00E6074A" w:rsidRPr="00013508" w:rsidRDefault="00E6074A" w:rsidP="00A916F2">
      <w:pPr>
        <w:adjustRightInd w:val="0"/>
      </w:pPr>
      <w:r>
        <w:rPr>
          <w:szCs w:val="16"/>
        </w:rPr>
        <w:t xml:space="preserve">Mr Ntokozo Mthembu – Beng Electronic Engineering </w:t>
      </w:r>
    </w:p>
    <w:sectPr w:rsidR="00E6074A" w:rsidRPr="00013508" w:rsidSect="00382304">
      <w:headerReference w:type="default" r:id="rId11"/>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771E" w14:textId="77777777" w:rsidR="00094AB6" w:rsidRPr="0022165B" w:rsidRDefault="00094AB6" w:rsidP="00382304">
      <w:r w:rsidRPr="0022165B">
        <w:separator/>
      </w:r>
    </w:p>
  </w:endnote>
  <w:endnote w:type="continuationSeparator" w:id="0">
    <w:p w14:paraId="5C36B4C5" w14:textId="77777777" w:rsidR="00094AB6" w:rsidRPr="0022165B" w:rsidRDefault="00094AB6" w:rsidP="00382304">
      <w:r w:rsidRPr="002216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604E" w14:textId="77777777" w:rsidR="00094AB6" w:rsidRPr="0022165B" w:rsidRDefault="00094AB6" w:rsidP="00382304">
      <w:r w:rsidRPr="0022165B">
        <w:separator/>
      </w:r>
    </w:p>
  </w:footnote>
  <w:footnote w:type="continuationSeparator" w:id="0">
    <w:p w14:paraId="670C2F2D" w14:textId="77777777" w:rsidR="00094AB6" w:rsidRPr="0022165B" w:rsidRDefault="00094AB6" w:rsidP="00382304">
      <w:r w:rsidRPr="002216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7114" w14:textId="739B4C52" w:rsidR="00382304" w:rsidRPr="00AB577B" w:rsidRDefault="00AB577B" w:rsidP="0075131A">
    <w:pPr>
      <w:spacing w:after="848" w:line="216" w:lineRule="auto"/>
      <w:ind w:left="144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BD6EA7F" wp14:editId="7EEF0D68">
              <wp:simplePos x="0" y="0"/>
              <wp:positionH relativeFrom="column">
                <wp:posOffset>9570720</wp:posOffset>
              </wp:positionH>
              <wp:positionV relativeFrom="paragraph">
                <wp:posOffset>6985</wp:posOffset>
              </wp:positionV>
              <wp:extent cx="733425" cy="677545"/>
              <wp:effectExtent l="0" t="0" r="0" b="8255"/>
              <wp:wrapSquare wrapText="bothSides"/>
              <wp:docPr id="3855" name="Group 3855"/>
              <wp:cNvGraphicFramePr/>
              <a:graphic xmlns:a="http://schemas.openxmlformats.org/drawingml/2006/main">
                <a:graphicData uri="http://schemas.microsoft.com/office/word/2010/wordprocessingGroup">
                  <wpg:wgp>
                    <wpg:cNvGrpSpPr/>
                    <wpg:grpSpPr>
                      <a:xfrm>
                        <a:off x="0" y="0"/>
                        <a:ext cx="733425" cy="677545"/>
                        <a:chOff x="0" y="0"/>
                        <a:chExt cx="733425" cy="677545"/>
                      </a:xfrm>
                    </wpg:grpSpPr>
                    <pic:pic xmlns:pic="http://schemas.openxmlformats.org/drawingml/2006/picture">
                      <pic:nvPicPr>
                        <pic:cNvPr id="241" name="Picture 241"/>
                        <pic:cNvPicPr/>
                      </pic:nvPicPr>
                      <pic:blipFill>
                        <a:blip r:embed="rId1"/>
                        <a:stretch>
                          <a:fillRect/>
                        </a:stretch>
                      </pic:blipFill>
                      <pic:spPr>
                        <a:xfrm>
                          <a:off x="0" y="0"/>
                          <a:ext cx="733425" cy="677545"/>
                        </a:xfrm>
                        <a:prstGeom prst="rect">
                          <a:avLst/>
                        </a:prstGeom>
                      </pic:spPr>
                    </pic:pic>
                    <wps:wsp>
                      <wps:cNvPr id="263" name="Rectangle 263"/>
                      <wps:cNvSpPr/>
                      <wps:spPr>
                        <a:xfrm>
                          <a:off x="145923" y="458851"/>
                          <a:ext cx="42144" cy="189937"/>
                        </a:xfrm>
                        <a:prstGeom prst="rect">
                          <a:avLst/>
                        </a:prstGeom>
                        <a:ln>
                          <a:noFill/>
                        </a:ln>
                      </wps:spPr>
                      <wps:txbx>
                        <w:txbxContent>
                          <w:p w14:paraId="1DE6A21E" w14:textId="77777777" w:rsidR="00AB577B" w:rsidRDefault="00AB577B" w:rsidP="00AB577B">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BD6EA7F" id="Group 3855" o:spid="_x0000_s1026" style="position:absolute;left:0;text-align:left;margin-left:753.6pt;margin-top:.55pt;width:57.75pt;height:53.35pt;z-index:251659264" coordsize="7334,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 o:spid="_x0000_s1027" type="#_x0000_t75" style="position:absolute;width:7334;height: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">
                <v:imagedata r:id="rId2" o:title=""/>
              </v:shape>
              <v:rect id="Rectangle 263" o:spid="_x0000_s1028" style="position:absolute;left:1459;top:45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1DE6A21E" w14:textId="77777777" w:rsidR="00AB577B" w:rsidRDefault="00AB577B" w:rsidP="00AB577B">
                      <w:pPr>
                        <w:spacing w:after="160" w:line="259" w:lineRule="auto"/>
                      </w:pPr>
                      <w:r>
                        <w:rPr>
                          <w:rFonts w:ascii="Calibri" w:eastAsia="Calibri" w:hAnsi="Calibri" w:cs="Calibri"/>
                        </w:rPr>
                        <w:t xml:space="preserve"> </w:t>
                      </w:r>
                    </w:p>
                  </w:txbxContent>
                </v:textbox>
              </v:rect>
              <w10:wrap type="square"/>
            </v:group>
          </w:pict>
        </mc:Fallback>
      </mc:AlternateContent>
    </w:r>
    <w:r>
      <w:rPr>
        <w:rFonts w:ascii="Arial" w:hAnsi="Arial" w:cs="Arial"/>
        <w:noProof/>
        <w:sz w:val="18"/>
      </w:rPr>
      <w:drawing>
        <wp:anchor distT="0" distB="0" distL="114300" distR="114300" simplePos="0" relativeHeight="251660288" behindDoc="0" locked="0" layoutInCell="1" allowOverlap="1" wp14:anchorId="33E257FA" wp14:editId="0D55DBC7">
          <wp:simplePos x="0" y="0"/>
          <wp:positionH relativeFrom="column">
            <wp:posOffset>-448733</wp:posOffset>
          </wp:positionH>
          <wp:positionV relativeFrom="paragraph">
            <wp:posOffset>-233356</wp:posOffset>
          </wp:positionV>
          <wp:extent cx="2347944" cy="754380"/>
          <wp:effectExtent l="0" t="0" r="0" b="0"/>
          <wp:wrapNone/>
          <wp:docPr id="1372589901" name="Picture 137258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 logo DES.png"/>
                  <pic:cNvPicPr/>
                </pic:nvPicPr>
                <pic:blipFill>
                  <a:blip r:embed="rId3" cstate="print">
                    <a:extLst>
                      <a:ext uri="{28A0092B-C50C-407E-A947-70E740481C1C}">
                        <a14:useLocalDpi xmlns:a14="http://schemas.microsoft.com/office/drawing/2010/main"/>
                      </a:ext>
                    </a:extLst>
                  </a:blip>
                  <a:stretch>
                    <a:fillRect/>
                  </a:stretch>
                </pic:blipFill>
                <pic:spPr>
                  <a:xfrm>
                    <a:off x="0" y="0"/>
                    <a:ext cx="2347944" cy="754380"/>
                  </a:xfrm>
                  <a:prstGeom prst="rect">
                    <a:avLst/>
                  </a:prstGeom>
                </pic:spPr>
              </pic:pic>
            </a:graphicData>
          </a:graphic>
          <wp14:sizeRelH relativeFrom="margin">
            <wp14:pctWidth>0</wp14:pctWidth>
          </wp14:sizeRelH>
          <wp14:sizeRelV relativeFrom="margin">
            <wp14:pctHeight>0</wp14:pctHeight>
          </wp14:sizeRelV>
        </wp:anchor>
      </w:drawing>
    </w:r>
    <w:r w:rsidR="0075131A">
      <w:rPr>
        <w:rFonts w:ascii="Arial" w:hAnsi="Arial" w:cs="Arial"/>
        <w:sz w:val="18"/>
      </w:rPr>
      <w:t xml:space="preserve">               </w:t>
    </w:r>
    <w:r>
      <w:rPr>
        <w:rFonts w:ascii="Arial" w:hAnsi="Arial" w:cs="Arial"/>
        <w:sz w:val="18"/>
      </w:rPr>
      <w:t xml:space="preserve">Unit 4 </w:t>
    </w:r>
    <w:r w:rsidR="0075131A">
      <w:rPr>
        <w:rFonts w:ascii="Arial" w:hAnsi="Arial" w:cs="Arial"/>
        <w:sz w:val="18"/>
      </w:rPr>
      <w:t>–</w:t>
    </w:r>
    <w:r>
      <w:rPr>
        <w:rFonts w:ascii="Arial" w:hAnsi="Arial" w:cs="Arial"/>
        <w:sz w:val="18"/>
      </w:rPr>
      <w:t xml:space="preserve"> 6</w:t>
    </w:r>
    <w:r w:rsidR="0075131A">
      <w:rPr>
        <w:rFonts w:ascii="Arial" w:hAnsi="Arial" w:cs="Arial"/>
        <w:sz w:val="18"/>
      </w:rPr>
      <w:t xml:space="preserve"> Sandton View Office Park</w:t>
    </w:r>
    <w:r>
      <w:rPr>
        <w:rFonts w:ascii="Arial" w:hAnsi="Arial" w:cs="Arial"/>
        <w:sz w:val="18"/>
      </w:rPr>
      <w:t xml:space="preserve"> | 10 Conduit Street | Lyme Park |</w:t>
    </w:r>
    <w:r>
      <w:rPr>
        <w:rFonts w:ascii="Arial" w:eastAsia="Arial" w:hAnsi="Arial" w:cs="Arial"/>
        <w:sz w:val="18"/>
      </w:rPr>
      <w:t xml:space="preserve"> 2191                                                           </w:t>
    </w:r>
    <w:r>
      <w:rPr>
        <w:rFonts w:ascii="Arial" w:eastAsia="Arial" w:hAnsi="Arial" w:cs="Arial"/>
        <w:color w:val="0563C1"/>
        <w:sz w:val="18"/>
        <w:u w:val="single" w:color="0563C1"/>
      </w:rPr>
      <w:t>info@kutleng.co.za</w:t>
    </w:r>
    <w:r>
      <w:rPr>
        <w:rFonts w:ascii="Arial" w:eastAsia="Arial" w:hAnsi="Arial" w:cs="Arial"/>
        <w:sz w:val="18"/>
      </w:rPr>
      <w:t xml:space="preserve"> | </w:t>
    </w:r>
    <w:hyperlink r:id="rId4">
      <w:r>
        <w:rPr>
          <w:rFonts w:ascii="Arial" w:eastAsia="Arial" w:hAnsi="Arial" w:cs="Arial"/>
          <w:color w:val="0563C1"/>
          <w:sz w:val="18"/>
          <w:u w:val="single" w:color="0563C1"/>
        </w:rPr>
        <w:t>www.kutleng.co.za</w:t>
      </w:r>
    </w:hyperlink>
    <w:hyperlink r:id="rId5">
      <w:r>
        <w:rPr>
          <w:rFonts w:ascii="Arial" w:eastAsia="Arial" w:hAnsi="Arial" w:cs="Arial"/>
          <w:sz w:val="18"/>
        </w:rPr>
        <w:t xml:space="preserve"> </w:t>
      </w:r>
    </w:hyperlink>
    <w:r>
      <w:rPr>
        <w:rFonts w:ascii="Arial" w:eastAsia="Arial" w:hAnsi="Arial" w:cs="Arial"/>
        <w:sz w:val="18"/>
      </w:rPr>
      <w:t>| +27 71 765 7365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6131AA"/>
    <w:multiLevelType w:val="hybridMultilevel"/>
    <w:tmpl w:val="E034D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E04602"/>
    <w:multiLevelType w:val="hybridMultilevel"/>
    <w:tmpl w:val="C4C2DF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DE4C83"/>
    <w:multiLevelType w:val="hybridMultilevel"/>
    <w:tmpl w:val="BB82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D32624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D11F6"/>
    <w:multiLevelType w:val="hybridMultilevel"/>
    <w:tmpl w:val="D1BCD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AD5210"/>
    <w:multiLevelType w:val="hybridMultilevel"/>
    <w:tmpl w:val="090C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BF20E3"/>
    <w:multiLevelType w:val="hybridMultilevel"/>
    <w:tmpl w:val="3E3E49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81C3EEE"/>
    <w:multiLevelType w:val="hybridMultilevel"/>
    <w:tmpl w:val="31168B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8FA03C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C76F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57D80"/>
    <w:multiLevelType w:val="hybridMultilevel"/>
    <w:tmpl w:val="BCE65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53788328">
    <w:abstractNumId w:val="26"/>
  </w:num>
  <w:num w:numId="2" w16cid:durableId="1415740857">
    <w:abstractNumId w:val="12"/>
  </w:num>
  <w:num w:numId="3" w16cid:durableId="1407143368">
    <w:abstractNumId w:val="10"/>
  </w:num>
  <w:num w:numId="4" w16cid:durableId="933705322">
    <w:abstractNumId w:val="30"/>
  </w:num>
  <w:num w:numId="5" w16cid:durableId="939067871">
    <w:abstractNumId w:val="13"/>
  </w:num>
  <w:num w:numId="6" w16cid:durableId="1070887019">
    <w:abstractNumId w:val="19"/>
  </w:num>
  <w:num w:numId="7" w16cid:durableId="1147169053">
    <w:abstractNumId w:val="25"/>
  </w:num>
  <w:num w:numId="8" w16cid:durableId="573204953">
    <w:abstractNumId w:val="9"/>
  </w:num>
  <w:num w:numId="9" w16cid:durableId="66729794">
    <w:abstractNumId w:val="7"/>
  </w:num>
  <w:num w:numId="10" w16cid:durableId="1421949479">
    <w:abstractNumId w:val="6"/>
  </w:num>
  <w:num w:numId="11" w16cid:durableId="1146821422">
    <w:abstractNumId w:val="5"/>
  </w:num>
  <w:num w:numId="12" w16cid:durableId="1225795752">
    <w:abstractNumId w:val="4"/>
  </w:num>
  <w:num w:numId="13" w16cid:durableId="1549533361">
    <w:abstractNumId w:val="8"/>
  </w:num>
  <w:num w:numId="14" w16cid:durableId="1077823455">
    <w:abstractNumId w:val="3"/>
  </w:num>
  <w:num w:numId="15" w16cid:durableId="302195497">
    <w:abstractNumId w:val="2"/>
  </w:num>
  <w:num w:numId="16" w16cid:durableId="1386176340">
    <w:abstractNumId w:val="1"/>
  </w:num>
  <w:num w:numId="17" w16cid:durableId="535040890">
    <w:abstractNumId w:val="0"/>
  </w:num>
  <w:num w:numId="18" w16cid:durableId="243075939">
    <w:abstractNumId w:val="16"/>
  </w:num>
  <w:num w:numId="19" w16cid:durableId="553662762">
    <w:abstractNumId w:val="17"/>
  </w:num>
  <w:num w:numId="20" w16cid:durableId="129245893">
    <w:abstractNumId w:val="27"/>
  </w:num>
  <w:num w:numId="21" w16cid:durableId="2098554276">
    <w:abstractNumId w:val="23"/>
  </w:num>
  <w:num w:numId="22" w16cid:durableId="1902280275">
    <w:abstractNumId w:val="11"/>
  </w:num>
  <w:num w:numId="23" w16cid:durableId="1100370381">
    <w:abstractNumId w:val="33"/>
  </w:num>
  <w:num w:numId="24" w16cid:durableId="2146314503">
    <w:abstractNumId w:val="20"/>
  </w:num>
  <w:num w:numId="25" w16cid:durableId="1590579265">
    <w:abstractNumId w:val="24"/>
  </w:num>
  <w:num w:numId="26" w16cid:durableId="1260485911">
    <w:abstractNumId w:val="21"/>
  </w:num>
  <w:num w:numId="27" w16cid:durableId="265112712">
    <w:abstractNumId w:val="22"/>
  </w:num>
  <w:num w:numId="28" w16cid:durableId="1998067299">
    <w:abstractNumId w:val="14"/>
  </w:num>
  <w:num w:numId="29" w16cid:durableId="1681816246">
    <w:abstractNumId w:val="32"/>
  </w:num>
  <w:num w:numId="30" w16cid:durableId="1644847736">
    <w:abstractNumId w:val="18"/>
  </w:num>
  <w:num w:numId="31" w16cid:durableId="1941527933">
    <w:abstractNumId w:val="28"/>
  </w:num>
  <w:num w:numId="32" w16cid:durableId="1941180719">
    <w:abstractNumId w:val="15"/>
  </w:num>
  <w:num w:numId="33" w16cid:durableId="1656690701">
    <w:abstractNumId w:val="31"/>
  </w:num>
  <w:num w:numId="34" w16cid:durableId="9732200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04"/>
    <w:rsid w:val="00010BEB"/>
    <w:rsid w:val="000112ED"/>
    <w:rsid w:val="00013508"/>
    <w:rsid w:val="00014DB7"/>
    <w:rsid w:val="00024EBF"/>
    <w:rsid w:val="00025DDF"/>
    <w:rsid w:val="00026EFE"/>
    <w:rsid w:val="00033477"/>
    <w:rsid w:val="000440B7"/>
    <w:rsid w:val="00060E21"/>
    <w:rsid w:val="0006416B"/>
    <w:rsid w:val="000661DA"/>
    <w:rsid w:val="00094AB6"/>
    <w:rsid w:val="00097A81"/>
    <w:rsid w:val="000D01F1"/>
    <w:rsid w:val="000D2F0B"/>
    <w:rsid w:val="000E4416"/>
    <w:rsid w:val="001063BF"/>
    <w:rsid w:val="0010661B"/>
    <w:rsid w:val="001177E5"/>
    <w:rsid w:val="00123EBF"/>
    <w:rsid w:val="00125940"/>
    <w:rsid w:val="00132106"/>
    <w:rsid w:val="00133474"/>
    <w:rsid w:val="0013348C"/>
    <w:rsid w:val="00134346"/>
    <w:rsid w:val="0014419F"/>
    <w:rsid w:val="001443CF"/>
    <w:rsid w:val="00150DA6"/>
    <w:rsid w:val="00151D44"/>
    <w:rsid w:val="001648C1"/>
    <w:rsid w:val="001943D9"/>
    <w:rsid w:val="00197B43"/>
    <w:rsid w:val="001A4CBB"/>
    <w:rsid w:val="001B44D7"/>
    <w:rsid w:val="001B7E3A"/>
    <w:rsid w:val="001D2A35"/>
    <w:rsid w:val="001E2189"/>
    <w:rsid w:val="001F4C8B"/>
    <w:rsid w:val="001F5494"/>
    <w:rsid w:val="001F6834"/>
    <w:rsid w:val="002011F0"/>
    <w:rsid w:val="00202E32"/>
    <w:rsid w:val="002033AD"/>
    <w:rsid w:val="0022165B"/>
    <w:rsid w:val="00240FE7"/>
    <w:rsid w:val="002425F9"/>
    <w:rsid w:val="00253D0C"/>
    <w:rsid w:val="002555B3"/>
    <w:rsid w:val="00263C1A"/>
    <w:rsid w:val="00265A03"/>
    <w:rsid w:val="002675CB"/>
    <w:rsid w:val="00272EE3"/>
    <w:rsid w:val="00294E38"/>
    <w:rsid w:val="002A1FFC"/>
    <w:rsid w:val="002A736A"/>
    <w:rsid w:val="002B24F4"/>
    <w:rsid w:val="002B7798"/>
    <w:rsid w:val="002C43BD"/>
    <w:rsid w:val="002C547B"/>
    <w:rsid w:val="002F0D7B"/>
    <w:rsid w:val="003109D6"/>
    <w:rsid w:val="0032599C"/>
    <w:rsid w:val="00327FFA"/>
    <w:rsid w:val="00344183"/>
    <w:rsid w:val="00354D3F"/>
    <w:rsid w:val="00363001"/>
    <w:rsid w:val="003653BD"/>
    <w:rsid w:val="0037149B"/>
    <w:rsid w:val="003779D9"/>
    <w:rsid w:val="00382304"/>
    <w:rsid w:val="003866FC"/>
    <w:rsid w:val="003968B2"/>
    <w:rsid w:val="003B0E04"/>
    <w:rsid w:val="003B614F"/>
    <w:rsid w:val="003B65B4"/>
    <w:rsid w:val="003C398D"/>
    <w:rsid w:val="003D036A"/>
    <w:rsid w:val="003D2031"/>
    <w:rsid w:val="003D3F35"/>
    <w:rsid w:val="0040124D"/>
    <w:rsid w:val="004013E5"/>
    <w:rsid w:val="004024D1"/>
    <w:rsid w:val="00415C76"/>
    <w:rsid w:val="00424937"/>
    <w:rsid w:val="00442708"/>
    <w:rsid w:val="00444EC5"/>
    <w:rsid w:val="004453D6"/>
    <w:rsid w:val="00454AF1"/>
    <w:rsid w:val="00464EDF"/>
    <w:rsid w:val="004651E1"/>
    <w:rsid w:val="0046588A"/>
    <w:rsid w:val="00485260"/>
    <w:rsid w:val="004A385B"/>
    <w:rsid w:val="004B1542"/>
    <w:rsid w:val="004C65F9"/>
    <w:rsid w:val="004C6AC2"/>
    <w:rsid w:val="004D12AA"/>
    <w:rsid w:val="004E124B"/>
    <w:rsid w:val="004F3CFE"/>
    <w:rsid w:val="004F5F9C"/>
    <w:rsid w:val="00505FE5"/>
    <w:rsid w:val="00507801"/>
    <w:rsid w:val="0051150F"/>
    <w:rsid w:val="00515AFF"/>
    <w:rsid w:val="00531CA9"/>
    <w:rsid w:val="00544504"/>
    <w:rsid w:val="00550E69"/>
    <w:rsid w:val="00560545"/>
    <w:rsid w:val="00564855"/>
    <w:rsid w:val="0056587B"/>
    <w:rsid w:val="00582230"/>
    <w:rsid w:val="00586266"/>
    <w:rsid w:val="005A23B1"/>
    <w:rsid w:val="005A5646"/>
    <w:rsid w:val="005A5C13"/>
    <w:rsid w:val="005A634D"/>
    <w:rsid w:val="00603F14"/>
    <w:rsid w:val="00610C97"/>
    <w:rsid w:val="006155FB"/>
    <w:rsid w:val="00615BEA"/>
    <w:rsid w:val="00624E2D"/>
    <w:rsid w:val="00626278"/>
    <w:rsid w:val="006415AC"/>
    <w:rsid w:val="00645252"/>
    <w:rsid w:val="006472C7"/>
    <w:rsid w:val="00670F24"/>
    <w:rsid w:val="00673CF4"/>
    <w:rsid w:val="0067451E"/>
    <w:rsid w:val="006778D4"/>
    <w:rsid w:val="00684DE9"/>
    <w:rsid w:val="00695DFF"/>
    <w:rsid w:val="00697BD7"/>
    <w:rsid w:val="006A164E"/>
    <w:rsid w:val="006A7933"/>
    <w:rsid w:val="006B5660"/>
    <w:rsid w:val="006C4E1C"/>
    <w:rsid w:val="006D2E3E"/>
    <w:rsid w:val="006D3D74"/>
    <w:rsid w:val="006E1E8D"/>
    <w:rsid w:val="006E3D83"/>
    <w:rsid w:val="0070323F"/>
    <w:rsid w:val="007143F6"/>
    <w:rsid w:val="0072295F"/>
    <w:rsid w:val="0072455F"/>
    <w:rsid w:val="007418AE"/>
    <w:rsid w:val="0075131A"/>
    <w:rsid w:val="007556E0"/>
    <w:rsid w:val="00761893"/>
    <w:rsid w:val="00777CE4"/>
    <w:rsid w:val="0078014F"/>
    <w:rsid w:val="00783570"/>
    <w:rsid w:val="00791823"/>
    <w:rsid w:val="0079228F"/>
    <w:rsid w:val="007A0FD7"/>
    <w:rsid w:val="007B2C14"/>
    <w:rsid w:val="007B2F3F"/>
    <w:rsid w:val="007C10CA"/>
    <w:rsid w:val="007C3AFA"/>
    <w:rsid w:val="007C4557"/>
    <w:rsid w:val="007D4146"/>
    <w:rsid w:val="007F0890"/>
    <w:rsid w:val="007F282A"/>
    <w:rsid w:val="008055FF"/>
    <w:rsid w:val="00810209"/>
    <w:rsid w:val="0081374D"/>
    <w:rsid w:val="00815109"/>
    <w:rsid w:val="00821AF3"/>
    <w:rsid w:val="008356AC"/>
    <w:rsid w:val="00876853"/>
    <w:rsid w:val="00880848"/>
    <w:rsid w:val="00881360"/>
    <w:rsid w:val="008A4DD3"/>
    <w:rsid w:val="008B4E03"/>
    <w:rsid w:val="008B7A3A"/>
    <w:rsid w:val="008D1B9B"/>
    <w:rsid w:val="008D33AF"/>
    <w:rsid w:val="008D65D2"/>
    <w:rsid w:val="008F1053"/>
    <w:rsid w:val="008F5CAD"/>
    <w:rsid w:val="008F6E5D"/>
    <w:rsid w:val="0091465C"/>
    <w:rsid w:val="0093092B"/>
    <w:rsid w:val="00946A47"/>
    <w:rsid w:val="00951AC9"/>
    <w:rsid w:val="009550A0"/>
    <w:rsid w:val="009815A7"/>
    <w:rsid w:val="00985273"/>
    <w:rsid w:val="009A1607"/>
    <w:rsid w:val="009A1A81"/>
    <w:rsid w:val="009A2905"/>
    <w:rsid w:val="009A5E5F"/>
    <w:rsid w:val="009A617D"/>
    <w:rsid w:val="009A721F"/>
    <w:rsid w:val="009B6251"/>
    <w:rsid w:val="009B698F"/>
    <w:rsid w:val="009D034F"/>
    <w:rsid w:val="009F1AF1"/>
    <w:rsid w:val="009F660C"/>
    <w:rsid w:val="00A01D58"/>
    <w:rsid w:val="00A1557A"/>
    <w:rsid w:val="00A16B77"/>
    <w:rsid w:val="00A26A0D"/>
    <w:rsid w:val="00A359A0"/>
    <w:rsid w:val="00A6276F"/>
    <w:rsid w:val="00A757C9"/>
    <w:rsid w:val="00A77956"/>
    <w:rsid w:val="00A878CD"/>
    <w:rsid w:val="00A916F2"/>
    <w:rsid w:val="00A91C80"/>
    <w:rsid w:val="00A9204E"/>
    <w:rsid w:val="00AB39D0"/>
    <w:rsid w:val="00AB577B"/>
    <w:rsid w:val="00AC046F"/>
    <w:rsid w:val="00AC123C"/>
    <w:rsid w:val="00AE3CD3"/>
    <w:rsid w:val="00AE4064"/>
    <w:rsid w:val="00B24CC3"/>
    <w:rsid w:val="00B2516A"/>
    <w:rsid w:val="00B311C3"/>
    <w:rsid w:val="00B3474D"/>
    <w:rsid w:val="00B34C66"/>
    <w:rsid w:val="00B408DB"/>
    <w:rsid w:val="00B471BB"/>
    <w:rsid w:val="00B72DC6"/>
    <w:rsid w:val="00B76B2D"/>
    <w:rsid w:val="00B91F24"/>
    <w:rsid w:val="00B959F5"/>
    <w:rsid w:val="00B95DF8"/>
    <w:rsid w:val="00B97D44"/>
    <w:rsid w:val="00BB3C0C"/>
    <w:rsid w:val="00BB46F4"/>
    <w:rsid w:val="00BC1F6A"/>
    <w:rsid w:val="00BD1AEC"/>
    <w:rsid w:val="00BD2B29"/>
    <w:rsid w:val="00BE212F"/>
    <w:rsid w:val="00BE6B73"/>
    <w:rsid w:val="00BF3097"/>
    <w:rsid w:val="00C048D0"/>
    <w:rsid w:val="00C103F7"/>
    <w:rsid w:val="00C1188F"/>
    <w:rsid w:val="00C139D0"/>
    <w:rsid w:val="00C214B8"/>
    <w:rsid w:val="00C27FB1"/>
    <w:rsid w:val="00C402DB"/>
    <w:rsid w:val="00C40FFF"/>
    <w:rsid w:val="00C56A86"/>
    <w:rsid w:val="00C62CD3"/>
    <w:rsid w:val="00C86069"/>
    <w:rsid w:val="00C95725"/>
    <w:rsid w:val="00CA5029"/>
    <w:rsid w:val="00CA7605"/>
    <w:rsid w:val="00CB2C19"/>
    <w:rsid w:val="00CB2F0E"/>
    <w:rsid w:val="00CE245D"/>
    <w:rsid w:val="00D00F76"/>
    <w:rsid w:val="00D0581C"/>
    <w:rsid w:val="00D07456"/>
    <w:rsid w:val="00D14C61"/>
    <w:rsid w:val="00D27620"/>
    <w:rsid w:val="00D32A69"/>
    <w:rsid w:val="00D35FE9"/>
    <w:rsid w:val="00D512A9"/>
    <w:rsid w:val="00D5795D"/>
    <w:rsid w:val="00D64553"/>
    <w:rsid w:val="00D757AC"/>
    <w:rsid w:val="00D8235E"/>
    <w:rsid w:val="00D823CD"/>
    <w:rsid w:val="00D8592F"/>
    <w:rsid w:val="00D86BC1"/>
    <w:rsid w:val="00D92C69"/>
    <w:rsid w:val="00D95AFA"/>
    <w:rsid w:val="00D96790"/>
    <w:rsid w:val="00DA2495"/>
    <w:rsid w:val="00DB685C"/>
    <w:rsid w:val="00DC7019"/>
    <w:rsid w:val="00DD2E98"/>
    <w:rsid w:val="00DD6937"/>
    <w:rsid w:val="00DE0920"/>
    <w:rsid w:val="00DE3D6B"/>
    <w:rsid w:val="00DF60B2"/>
    <w:rsid w:val="00E045EF"/>
    <w:rsid w:val="00E06900"/>
    <w:rsid w:val="00E23058"/>
    <w:rsid w:val="00E25B08"/>
    <w:rsid w:val="00E476F0"/>
    <w:rsid w:val="00E552DD"/>
    <w:rsid w:val="00E57C8A"/>
    <w:rsid w:val="00E6074A"/>
    <w:rsid w:val="00E6221C"/>
    <w:rsid w:val="00E63140"/>
    <w:rsid w:val="00E632CE"/>
    <w:rsid w:val="00E64479"/>
    <w:rsid w:val="00E70D56"/>
    <w:rsid w:val="00E778D3"/>
    <w:rsid w:val="00E867FE"/>
    <w:rsid w:val="00EA0F83"/>
    <w:rsid w:val="00EA24D6"/>
    <w:rsid w:val="00EB1765"/>
    <w:rsid w:val="00EB645C"/>
    <w:rsid w:val="00EC7843"/>
    <w:rsid w:val="00ED34A8"/>
    <w:rsid w:val="00ED6495"/>
    <w:rsid w:val="00ED768D"/>
    <w:rsid w:val="00EE245B"/>
    <w:rsid w:val="00EE6FC5"/>
    <w:rsid w:val="00EF3DA9"/>
    <w:rsid w:val="00EF5D50"/>
    <w:rsid w:val="00F05CE8"/>
    <w:rsid w:val="00F0716A"/>
    <w:rsid w:val="00F17058"/>
    <w:rsid w:val="00F232FA"/>
    <w:rsid w:val="00F3004F"/>
    <w:rsid w:val="00F30FFC"/>
    <w:rsid w:val="00F44AA1"/>
    <w:rsid w:val="00F52996"/>
    <w:rsid w:val="00F54C75"/>
    <w:rsid w:val="00F717D9"/>
    <w:rsid w:val="00F80785"/>
    <w:rsid w:val="00F80F79"/>
    <w:rsid w:val="00F8389E"/>
    <w:rsid w:val="00FA14AB"/>
    <w:rsid w:val="00FA2D2C"/>
    <w:rsid w:val="00FA5292"/>
    <w:rsid w:val="00FB19CD"/>
    <w:rsid w:val="00FB768A"/>
    <w:rsid w:val="00FC082B"/>
    <w:rsid w:val="00FD5FE7"/>
    <w:rsid w:val="00FE75CF"/>
    <w:rsid w:val="00FF6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CF2C"/>
  <w15:chartTrackingRefBased/>
  <w15:docId w15:val="{2FC6360A-60C6-4A87-962E-602EDC4C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EB"/>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01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F0D7B"/>
    <w:pPr>
      <w:ind w:left="720"/>
      <w:contextualSpacing/>
    </w:pPr>
  </w:style>
  <w:style w:type="paragraph" w:styleId="NormalWeb">
    <w:name w:val="Normal (Web)"/>
    <w:basedOn w:val="Normal"/>
    <w:uiPriority w:val="99"/>
    <w:semiHidden/>
    <w:unhideWhenUsed/>
    <w:rsid w:val="00D859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07825">
      <w:bodyDiv w:val="1"/>
      <w:marLeft w:val="0"/>
      <w:marRight w:val="0"/>
      <w:marTop w:val="0"/>
      <w:marBottom w:val="0"/>
      <w:divBdr>
        <w:top w:val="none" w:sz="0" w:space="0" w:color="auto"/>
        <w:left w:val="none" w:sz="0" w:space="0" w:color="auto"/>
        <w:bottom w:val="none" w:sz="0" w:space="0" w:color="auto"/>
        <w:right w:val="none" w:sz="0" w:space="0" w:color="auto"/>
      </w:divBdr>
    </w:div>
    <w:div w:id="12683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
	<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5" Type="http://schemas.openxmlformats.org/officeDocument/2006/relationships/hyperlink" Target="http://?" TargetMode="External"/>
	<Relationship Id="rId4" Type="http://schemas.openxmlformats.org/officeDocument/2006/relationships/hyperlink" Target="http://?"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zeleX\AppData\Local\Microsoft\Office\16.0\DTS\en-GB%7bA48640B3-608E-48F3-B34D-C944AAEC37DE%7d\%7bCC962CD4-A390-4FBE-B95C-DD366C03B94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A4E46B95F2F941B2E57DE92967D60C" ma:contentTypeVersion="3" ma:contentTypeDescription="Create a new document." ma:contentTypeScope="" ma:versionID="6fe41b5070de0cced4a26936095109da">
  <xsd:schema xmlns:xsd="http://www.w3.org/2001/XMLSchema" xmlns:xs="http://www.w3.org/2001/XMLSchema" xmlns:p="http://schemas.microsoft.com/office/2006/metadata/properties" xmlns:ns2="6f987742-59a8-4e11-a53c-0da15b129ee4" targetNamespace="http://schemas.microsoft.com/office/2006/metadata/properties" ma:root="true" ma:fieldsID="9bbb4d9e9280a492ff807a22effb0997" ns2:_="">
    <xsd:import namespace="6f987742-59a8-4e11-a53c-0da15b129e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87742-59a8-4e11-a53c-0da15b129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052-89F3-4E73-B172-77A81530A75B}">
  <ds:schemaRefs>
    <ds:schemaRef ds:uri="http://schemas.openxmlformats.org/officeDocument/2006/bibliography"/>
  </ds:schemaRefs>
</ds:datastoreItem>
</file>

<file path=customXml/itemProps2.xml><?xml version="1.0" encoding="utf-8"?>
<ds:datastoreItem xmlns:ds="http://schemas.openxmlformats.org/officeDocument/2006/customXml" ds:itemID="{8A4544A6-9885-4EA3-A1DC-490C5718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87742-59a8-4e11-a53c-0da15b129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schemas.microsoft.com/office/infopath/2007/PartnerControls"/>
    <ds:schemaRef ds:uri="http://purl.org/dc/terms/"/>
    <ds:schemaRef ds:uri="6f987742-59a8-4e11-a53c-0da15b129ee4"/>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8A75ECE-B83C-40B5-9639-C3C11084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%7bCC962CD4-A390-4FBE-B95C-DD366C03B941%7dtf02786999_win32.dotx</Template>
  <TotalTime>432</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ZenzeleX;NtokozoM;Benjamin Hlophe</dc:creator>
  <cp:keywords/>
  <dc:description/>
  <cp:lastModifiedBy>Benjamin Hlophe</cp:lastModifiedBy>
  <cp:revision>331</cp:revision>
  <cp:lastPrinted>2025-05-30T09:56:00Z</cp:lastPrinted>
  <dcterms:created xsi:type="dcterms:W3CDTF">2025-05-12T02:49:00Z</dcterms:created>
  <dcterms:modified xsi:type="dcterms:W3CDTF">2025-05-30T09:56:00Z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0x01010005A4E46B95F2F941B2E57DE92967D60C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