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3A79D" w14:textId="34169B75" w:rsidR="00C32B3C" w:rsidRPr="00CB1487" w:rsidRDefault="00B7601F">
      <w:pPr>
        <w:rPr>
          <w:sz w:val="22"/>
          <w:szCs w:val="22"/>
          <w:lang w:val="en-US"/>
        </w:rPr>
      </w:pPr>
      <w:r>
        <w:rPr>
          <w:sz w:val="22"/>
          <w:szCs w:val="22"/>
          <w:lang w:val="en-US"/>
        </w:rPr>
        <w:t>January</w:t>
      </w:r>
      <w:r w:rsidR="00CF56BC">
        <w:rPr>
          <w:sz w:val="22"/>
          <w:szCs w:val="22"/>
          <w:lang w:val="en-US"/>
        </w:rPr>
        <w:t xml:space="preserve"> 202</w:t>
      </w:r>
      <w:r>
        <w:rPr>
          <w:sz w:val="22"/>
          <w:szCs w:val="22"/>
          <w:lang w:val="en-US"/>
        </w:rPr>
        <w:t>6</w:t>
      </w:r>
    </w:p>
    <w:p w14:paraId="4ADFD5B6" w14:textId="77777777" w:rsidR="007277F8" w:rsidRPr="00CB1487" w:rsidRDefault="007277F8" w:rsidP="00AE0B45">
      <w:pPr>
        <w:rPr>
          <w:sz w:val="22"/>
          <w:szCs w:val="22"/>
          <w:lang w:val="en-US"/>
        </w:rPr>
      </w:pPr>
    </w:p>
    <w:p w14:paraId="72D42253" w14:textId="77777777" w:rsidR="00CF56BC" w:rsidRDefault="00CF56BC" w:rsidP="00AE0B45">
      <w:pPr>
        <w:rPr>
          <w:sz w:val="22"/>
          <w:szCs w:val="22"/>
          <w:lang w:val="en-US"/>
        </w:rPr>
      </w:pPr>
      <w:r w:rsidRPr="00CF56BC">
        <w:rPr>
          <w:sz w:val="22"/>
          <w:szCs w:val="22"/>
          <w:lang w:val="en-US"/>
        </w:rPr>
        <w:t>Mr Peter Mailula (Project Manager)</w:t>
      </w:r>
    </w:p>
    <w:p w14:paraId="7DBC186E" w14:textId="2D961C9B" w:rsidR="00AE0B45" w:rsidRPr="00CB1487" w:rsidRDefault="00AE0B45" w:rsidP="00AE0B45">
      <w:pPr>
        <w:rPr>
          <w:sz w:val="22"/>
          <w:szCs w:val="22"/>
          <w:lang w:val="en-US"/>
        </w:rPr>
      </w:pPr>
      <w:r w:rsidRPr="00CB1487">
        <w:rPr>
          <w:sz w:val="22"/>
          <w:szCs w:val="22"/>
          <w:lang w:val="en-US"/>
        </w:rPr>
        <w:t>Independent Communications Authority of South Africa</w:t>
      </w:r>
    </w:p>
    <w:p w14:paraId="5389A193" w14:textId="77777777" w:rsidR="00AE0B45" w:rsidRPr="00CB1487" w:rsidRDefault="00AE0B45" w:rsidP="00AE0B45">
      <w:pPr>
        <w:rPr>
          <w:sz w:val="22"/>
          <w:szCs w:val="22"/>
          <w:lang w:val="en-US"/>
        </w:rPr>
      </w:pPr>
      <w:r w:rsidRPr="00CB1487">
        <w:rPr>
          <w:sz w:val="22"/>
          <w:szCs w:val="22"/>
          <w:lang w:val="en-US"/>
        </w:rPr>
        <w:t xml:space="preserve">350 Witch-Hazel Avenue, Eco Point Office Park, </w:t>
      </w:r>
    </w:p>
    <w:p w14:paraId="6868D5C5" w14:textId="79197F67" w:rsidR="00C32B3C" w:rsidRDefault="00AE0B45" w:rsidP="00AE0B45">
      <w:pPr>
        <w:rPr>
          <w:sz w:val="22"/>
          <w:szCs w:val="22"/>
          <w:lang w:val="en-US"/>
        </w:rPr>
      </w:pPr>
      <w:r w:rsidRPr="00CB1487">
        <w:rPr>
          <w:sz w:val="22"/>
          <w:szCs w:val="22"/>
          <w:lang w:val="en-US"/>
        </w:rPr>
        <w:t>Eco Park, Centurion</w:t>
      </w:r>
    </w:p>
    <w:p w14:paraId="07211869" w14:textId="77777777" w:rsidR="00CF56BC" w:rsidRDefault="00CF56BC" w:rsidP="00AE0B45">
      <w:pPr>
        <w:rPr>
          <w:sz w:val="22"/>
          <w:szCs w:val="22"/>
          <w:lang w:val="en-US"/>
        </w:rPr>
      </w:pPr>
    </w:p>
    <w:p w14:paraId="60E32962" w14:textId="01473D38" w:rsidR="00CF56BC" w:rsidRDefault="00CF56BC" w:rsidP="00AE0B45">
      <w:pPr>
        <w:rPr>
          <w:sz w:val="22"/>
          <w:szCs w:val="22"/>
          <w:lang w:val="en-US"/>
        </w:rPr>
      </w:pPr>
      <w:r w:rsidRPr="00CF56BC">
        <w:rPr>
          <w:sz w:val="22"/>
          <w:szCs w:val="22"/>
          <w:lang w:val="en-US"/>
        </w:rPr>
        <w:t>Email</w:t>
      </w:r>
      <w:r>
        <w:rPr>
          <w:sz w:val="22"/>
          <w:szCs w:val="22"/>
          <w:lang w:val="en-US"/>
        </w:rPr>
        <w:t xml:space="preserve">: </w:t>
      </w:r>
      <w:r w:rsidRPr="00CF56BC">
        <w:rPr>
          <w:sz w:val="22"/>
          <w:szCs w:val="22"/>
          <w:lang w:val="en-US"/>
        </w:rPr>
        <w:t xml:space="preserve">iecns-inquiry@icasa.org.za; </w:t>
      </w:r>
      <w:hyperlink r:id="rId7" w:history="1">
        <w:r w:rsidRPr="00B407C9">
          <w:rPr>
            <w:rStyle w:val="Hyperlink"/>
            <w:sz w:val="22"/>
            <w:szCs w:val="22"/>
            <w:lang w:val="en-US"/>
          </w:rPr>
          <w:t>pmailula@icasa.org.za</w:t>
        </w:r>
      </w:hyperlink>
    </w:p>
    <w:p w14:paraId="13959DE2" w14:textId="77777777" w:rsidR="00C32B3C" w:rsidRPr="00CB1487" w:rsidRDefault="00C32B3C">
      <w:pPr>
        <w:rPr>
          <w:sz w:val="22"/>
          <w:szCs w:val="22"/>
          <w:lang w:val="en-US"/>
        </w:rPr>
      </w:pPr>
    </w:p>
    <w:p w14:paraId="5CE971F4" w14:textId="3590291E" w:rsidR="00C32B3C" w:rsidRDefault="00C32B3C">
      <w:pPr>
        <w:rPr>
          <w:sz w:val="22"/>
          <w:szCs w:val="22"/>
          <w:lang w:val="en-US"/>
        </w:rPr>
      </w:pPr>
      <w:r w:rsidRPr="00CB1487">
        <w:rPr>
          <w:sz w:val="22"/>
          <w:szCs w:val="22"/>
          <w:lang w:val="en-US"/>
        </w:rPr>
        <w:t>Dear Madam/Sir</w:t>
      </w:r>
    </w:p>
    <w:p w14:paraId="65B23222" w14:textId="77777777" w:rsidR="00CF56BC" w:rsidRDefault="00CF56BC">
      <w:pPr>
        <w:rPr>
          <w:sz w:val="22"/>
          <w:szCs w:val="22"/>
          <w:lang w:val="en-US"/>
        </w:rPr>
      </w:pPr>
    </w:p>
    <w:p w14:paraId="516C490E" w14:textId="362010AD" w:rsidR="00CF56BC" w:rsidRPr="00CD2BA6" w:rsidRDefault="00CF56BC">
      <w:pPr>
        <w:rPr>
          <w:b/>
          <w:bCs/>
          <w:sz w:val="22"/>
          <w:szCs w:val="22"/>
          <w:lang w:val="en-US"/>
        </w:rPr>
      </w:pPr>
      <w:r w:rsidRPr="00CD2BA6">
        <w:rPr>
          <w:b/>
          <w:bCs/>
          <w:sz w:val="22"/>
          <w:szCs w:val="22"/>
          <w:lang w:val="en-US"/>
        </w:rPr>
        <w:t>I</w:t>
      </w:r>
      <w:r w:rsidR="00CD2BA6">
        <w:rPr>
          <w:b/>
          <w:bCs/>
          <w:sz w:val="22"/>
          <w:szCs w:val="22"/>
          <w:lang w:val="en-US"/>
        </w:rPr>
        <w:t xml:space="preserve">NQUIRY INTO NEW INDIVIDUAL ELECTRONIC COMMUNICATIONS NETWORK SERVICE </w:t>
      </w:r>
      <w:r w:rsidRPr="00CD2BA6">
        <w:rPr>
          <w:b/>
          <w:bCs/>
          <w:sz w:val="22"/>
          <w:szCs w:val="22"/>
          <w:lang w:val="en-US"/>
        </w:rPr>
        <w:t>(I-ECNS) L</w:t>
      </w:r>
      <w:r w:rsidR="00CD2BA6">
        <w:rPr>
          <w:b/>
          <w:bCs/>
          <w:sz w:val="22"/>
          <w:szCs w:val="22"/>
          <w:lang w:val="en-US"/>
        </w:rPr>
        <w:t>ICENCES</w:t>
      </w:r>
    </w:p>
    <w:p w14:paraId="160602D7" w14:textId="77777777" w:rsidR="00C32B3C" w:rsidRPr="00CB1487" w:rsidRDefault="00C32B3C">
      <w:pPr>
        <w:rPr>
          <w:sz w:val="22"/>
          <w:szCs w:val="22"/>
          <w:lang w:val="en-US"/>
        </w:rPr>
      </w:pPr>
    </w:p>
    <w:p w14:paraId="34A9B3AE" w14:textId="0956CC5E" w:rsidR="00C32B3C" w:rsidRPr="00CB1487" w:rsidRDefault="00C32B3C" w:rsidP="00C32B3C">
      <w:pPr>
        <w:pStyle w:val="ListParagraph"/>
        <w:numPr>
          <w:ilvl w:val="0"/>
          <w:numId w:val="2"/>
        </w:numPr>
        <w:spacing w:after="160" w:line="276" w:lineRule="auto"/>
        <w:rPr>
          <w:b/>
          <w:sz w:val="22"/>
          <w:szCs w:val="22"/>
        </w:rPr>
      </w:pPr>
      <w:r w:rsidRPr="00CB1487">
        <w:rPr>
          <w:b/>
          <w:sz w:val="22"/>
          <w:szCs w:val="22"/>
        </w:rPr>
        <w:t>I</w:t>
      </w:r>
      <w:r w:rsidR="00C746AB" w:rsidRPr="00CB1487">
        <w:rPr>
          <w:b/>
          <w:sz w:val="22"/>
          <w:szCs w:val="22"/>
        </w:rPr>
        <w:t>NTRODUCTION AND GENERAL COMMENTS</w:t>
      </w:r>
    </w:p>
    <w:p w14:paraId="733ABB9B" w14:textId="3F11C084" w:rsidR="001F4A41" w:rsidRDefault="00C32B3C" w:rsidP="00B7601F">
      <w:pPr>
        <w:pStyle w:val="ListParagraph"/>
        <w:numPr>
          <w:ilvl w:val="1"/>
          <w:numId w:val="3"/>
        </w:numPr>
        <w:spacing w:after="160" w:line="276" w:lineRule="auto"/>
        <w:rPr>
          <w:sz w:val="22"/>
          <w:szCs w:val="22"/>
        </w:rPr>
      </w:pPr>
      <w:r w:rsidRPr="00CB1487">
        <w:rPr>
          <w:sz w:val="22"/>
          <w:szCs w:val="22"/>
        </w:rPr>
        <w:t xml:space="preserve">The South African Communications Forum (the SACF) is a voluntary industry association which is member funded and represents members across the ICT ecosystem and includes members across the ICT ecosystem. We primarily participate in advocacy in the policy and regulatory environment to contribute a competitive and inclusive sector that is capable of attracting and sustaining investment. </w:t>
      </w:r>
    </w:p>
    <w:p w14:paraId="26AD0DAA" w14:textId="77777777" w:rsidR="00B7601F" w:rsidRPr="00B7601F" w:rsidRDefault="00B7601F" w:rsidP="00B7601F">
      <w:pPr>
        <w:pStyle w:val="ListParagraph"/>
        <w:spacing w:after="160" w:line="276" w:lineRule="auto"/>
        <w:ind w:left="502"/>
        <w:rPr>
          <w:sz w:val="22"/>
          <w:szCs w:val="22"/>
        </w:rPr>
      </w:pPr>
    </w:p>
    <w:p w14:paraId="656D84C8" w14:textId="77777777" w:rsidR="001F4A41" w:rsidRPr="00B7601F" w:rsidRDefault="00CF56BC" w:rsidP="00CF56BC">
      <w:pPr>
        <w:pStyle w:val="ListParagraph"/>
        <w:numPr>
          <w:ilvl w:val="1"/>
          <w:numId w:val="3"/>
        </w:numPr>
        <w:spacing w:line="276" w:lineRule="auto"/>
        <w:rPr>
          <w:sz w:val="22"/>
          <w:szCs w:val="22"/>
        </w:rPr>
      </w:pPr>
      <w:r w:rsidRPr="001F4A41">
        <w:rPr>
          <w:color w:val="000000"/>
        </w:rPr>
        <w:t>Please accept this formal submission in response to the</w:t>
      </w:r>
      <w:r w:rsidRPr="001F4A41">
        <w:rPr>
          <w:rStyle w:val="apple-converted-space"/>
          <w:color w:val="000000"/>
        </w:rPr>
        <w:t> </w:t>
      </w:r>
      <w:r w:rsidRPr="001F4A41">
        <w:rPr>
          <w:i/>
          <w:iCs/>
          <w:color w:val="000000"/>
        </w:rPr>
        <w:t>Notice of Intention to Conduct an Inquiry into New Individual Electronic Communications Network Service Licences</w:t>
      </w:r>
      <w:r w:rsidRPr="001F4A41">
        <w:rPr>
          <w:rStyle w:val="apple-converted-space"/>
          <w:color w:val="000000"/>
        </w:rPr>
        <w:t> </w:t>
      </w:r>
      <w:r w:rsidRPr="001F4A41">
        <w:rPr>
          <w:color w:val="000000"/>
        </w:rPr>
        <w:t>(General Notice [ ] of 2025).</w:t>
      </w:r>
    </w:p>
    <w:p w14:paraId="00CB8610" w14:textId="77777777" w:rsidR="00B7601F" w:rsidRPr="00B7601F" w:rsidRDefault="00B7601F" w:rsidP="00B7601F">
      <w:pPr>
        <w:pStyle w:val="ListParagraph"/>
        <w:rPr>
          <w:sz w:val="22"/>
          <w:szCs w:val="22"/>
        </w:rPr>
      </w:pPr>
    </w:p>
    <w:p w14:paraId="59508357" w14:textId="7E21AE1D" w:rsidR="00B7601F" w:rsidRPr="00B7601F" w:rsidRDefault="00B7601F" w:rsidP="00B7601F">
      <w:pPr>
        <w:pStyle w:val="ListParagraph"/>
        <w:numPr>
          <w:ilvl w:val="1"/>
          <w:numId w:val="3"/>
        </w:numPr>
        <w:spacing w:line="276" w:lineRule="auto"/>
        <w:rPr>
          <w:sz w:val="22"/>
          <w:szCs w:val="22"/>
        </w:rPr>
      </w:pPr>
      <w:r w:rsidRPr="00CB1487">
        <w:rPr>
          <w:sz w:val="22"/>
          <w:szCs w:val="22"/>
        </w:rPr>
        <w:t xml:space="preserve">Should the Authority decide to hold public hearings, the SACF confirms its intention to participate in such public hearings. </w:t>
      </w:r>
    </w:p>
    <w:p w14:paraId="358BD555" w14:textId="77777777" w:rsidR="001F4A41" w:rsidRPr="001F4A41" w:rsidRDefault="001F4A41" w:rsidP="001F4A41">
      <w:pPr>
        <w:pStyle w:val="ListParagraph"/>
        <w:rPr>
          <w:color w:val="000000"/>
        </w:rPr>
      </w:pPr>
    </w:p>
    <w:p w14:paraId="0BE53FD9" w14:textId="5478514A" w:rsidR="00CF56BC" w:rsidRPr="001F4A41" w:rsidRDefault="001F4A41" w:rsidP="00CF56BC">
      <w:pPr>
        <w:pStyle w:val="ListParagraph"/>
        <w:numPr>
          <w:ilvl w:val="1"/>
          <w:numId w:val="3"/>
        </w:numPr>
        <w:spacing w:line="276" w:lineRule="auto"/>
        <w:rPr>
          <w:sz w:val="22"/>
          <w:szCs w:val="22"/>
        </w:rPr>
      </w:pPr>
      <w:r>
        <w:rPr>
          <w:color w:val="000000"/>
        </w:rPr>
        <w:t>T</w:t>
      </w:r>
      <w:r w:rsidR="00CF56BC" w:rsidRPr="001F4A41">
        <w:rPr>
          <w:color w:val="000000"/>
        </w:rPr>
        <w:t>his submission is structured to provide direct responses to the Authority’s questionnaire</w:t>
      </w:r>
      <w:r w:rsidR="00CD2BA6">
        <w:rPr>
          <w:color w:val="000000"/>
        </w:rPr>
        <w:t xml:space="preserve"> </w:t>
      </w:r>
      <w:r w:rsidR="00CF56BC" w:rsidRPr="001F4A41">
        <w:rPr>
          <w:color w:val="000000"/>
        </w:rPr>
        <w:t>while simultaneously proposing a fundamental reconsideration of the licensing framework, aligned with international best practice and the objects of the Electronic Communications Act, 2005 (the ECA).</w:t>
      </w:r>
    </w:p>
    <w:p w14:paraId="74CF2485" w14:textId="232B8E7F" w:rsidR="00CF56BC" w:rsidRPr="001F4A41" w:rsidRDefault="00CF56BC" w:rsidP="00CF56BC"/>
    <w:p w14:paraId="49B90777" w14:textId="0E24524A" w:rsidR="00CF56BC" w:rsidRPr="001F4A41" w:rsidRDefault="00CF56BC" w:rsidP="001F4A41">
      <w:pPr>
        <w:pStyle w:val="Heading3"/>
        <w:numPr>
          <w:ilvl w:val="0"/>
          <w:numId w:val="2"/>
        </w:numPr>
        <w:rPr>
          <w:rFonts w:ascii="Century Gothic" w:hAnsi="Century Gothic"/>
          <w:color w:val="000000"/>
        </w:rPr>
      </w:pPr>
      <w:r w:rsidRPr="001F4A41">
        <w:rPr>
          <w:rFonts w:ascii="Century Gothic" w:hAnsi="Century Gothic"/>
          <w:color w:val="000000"/>
        </w:rPr>
        <w:t>Executive Summary &amp; Strategic Proposal</w:t>
      </w:r>
    </w:p>
    <w:p w14:paraId="5EFCC6B2" w14:textId="77777777" w:rsidR="001F4A41" w:rsidRDefault="001F4A41" w:rsidP="001F4A41">
      <w:pPr>
        <w:pStyle w:val="NormalWeb"/>
        <w:ind w:left="360" w:hanging="360"/>
        <w:rPr>
          <w:rFonts w:ascii="Century Gothic" w:hAnsi="Century Gothic"/>
          <w:color w:val="000000"/>
        </w:rPr>
      </w:pPr>
      <w:r>
        <w:rPr>
          <w:rFonts w:ascii="Century Gothic" w:hAnsi="Century Gothic"/>
          <w:color w:val="000000"/>
        </w:rPr>
        <w:t>2.1</w:t>
      </w:r>
      <w:r>
        <w:rPr>
          <w:rFonts w:ascii="Century Gothic" w:hAnsi="Century Gothic"/>
          <w:color w:val="000000"/>
        </w:rPr>
        <w:tab/>
      </w:r>
      <w:r w:rsidR="00CF56BC" w:rsidRPr="001F4A41">
        <w:rPr>
          <w:rFonts w:ascii="Century Gothic" w:hAnsi="Century Gothic"/>
          <w:color w:val="000000"/>
        </w:rPr>
        <w:t>While the industry welcomes the Authority’s inquiry into lifting the moratorium on I-ECNS licences, we submit that the current "Individual" versus "Class" licensing regime is becoming obsolete in a converged digital economy.</w:t>
      </w:r>
    </w:p>
    <w:p w14:paraId="49FD45C0" w14:textId="5B4E0987" w:rsidR="001F4A41" w:rsidRDefault="001F4A41" w:rsidP="001F4A41">
      <w:pPr>
        <w:pStyle w:val="NormalWeb"/>
        <w:ind w:left="360" w:hanging="360"/>
        <w:rPr>
          <w:rFonts w:ascii="Century Gothic" w:hAnsi="Century Gothic"/>
          <w:color w:val="000000"/>
        </w:rPr>
      </w:pPr>
      <w:r>
        <w:rPr>
          <w:rFonts w:ascii="Century Gothic" w:hAnsi="Century Gothic"/>
          <w:color w:val="000000"/>
        </w:rPr>
        <w:t>2.2</w:t>
      </w:r>
      <w:r>
        <w:rPr>
          <w:rFonts w:ascii="Century Gothic" w:hAnsi="Century Gothic"/>
          <w:color w:val="000000"/>
        </w:rPr>
        <w:tab/>
      </w:r>
      <w:r w:rsidR="00CF56BC" w:rsidRPr="001F4A41">
        <w:rPr>
          <w:rFonts w:ascii="Century Gothic" w:hAnsi="Century Gothic"/>
          <w:b/>
          <w:bCs/>
          <w:color w:val="000000"/>
        </w:rPr>
        <w:t>Primary Recommendation:</w:t>
      </w:r>
      <w:r>
        <w:rPr>
          <w:rStyle w:val="apple-converted-space"/>
          <w:rFonts w:ascii="Century Gothic" w:hAnsi="Century Gothic"/>
          <w:color w:val="000000"/>
        </w:rPr>
        <w:t xml:space="preserve"> </w:t>
      </w:r>
      <w:r w:rsidR="00CF56BC" w:rsidRPr="001F4A41">
        <w:rPr>
          <w:rFonts w:ascii="Century Gothic" w:hAnsi="Century Gothic"/>
          <w:color w:val="000000"/>
        </w:rPr>
        <w:t xml:space="preserve">The Authority </w:t>
      </w:r>
      <w:r w:rsidR="00B7601F">
        <w:rPr>
          <w:rFonts w:ascii="Century Gothic" w:hAnsi="Century Gothic"/>
          <w:color w:val="000000"/>
        </w:rPr>
        <w:t>is implored to support a policy shift to</w:t>
      </w:r>
      <w:r w:rsidR="00CF56BC" w:rsidRPr="001F4A41">
        <w:rPr>
          <w:rFonts w:ascii="Century Gothic" w:hAnsi="Century Gothic"/>
          <w:color w:val="000000"/>
        </w:rPr>
        <w:t xml:space="preserve"> move towards a</w:t>
      </w:r>
      <w:r>
        <w:rPr>
          <w:rStyle w:val="apple-converted-space"/>
          <w:rFonts w:ascii="Century Gothic" w:hAnsi="Century Gothic"/>
          <w:color w:val="000000"/>
        </w:rPr>
        <w:t xml:space="preserve"> </w:t>
      </w:r>
      <w:r w:rsidR="00CF56BC" w:rsidRPr="001F4A41">
        <w:rPr>
          <w:rFonts w:ascii="Century Gothic" w:hAnsi="Century Gothic"/>
          <w:color w:val="000000"/>
        </w:rPr>
        <w:t xml:space="preserve">General Authorisation Regime. International best practice, particularly within the European Union under the European </w:t>
      </w:r>
      <w:r w:rsidR="00CF56BC" w:rsidRPr="001F4A41">
        <w:rPr>
          <w:rFonts w:ascii="Century Gothic" w:hAnsi="Century Gothic"/>
          <w:color w:val="000000"/>
        </w:rPr>
        <w:lastRenderedPageBreak/>
        <w:t>Electronic Communications Code (EECC), has demonstrated that replacing individual licensing with a notification-based General Authorisation model significantly lowers barriers to entry. Under this model, any entity may provide services upon notification to the regulator, provided they comply with standard conditions, removing the artificial scarcity that currently drives up licence costs in the secondary market.</w:t>
      </w:r>
      <w:r w:rsidR="00B7601F">
        <w:rPr>
          <w:rFonts w:ascii="Century Gothic" w:hAnsi="Century Gothic"/>
          <w:color w:val="000000"/>
        </w:rPr>
        <w:t xml:space="preserve"> This approach is in line with the ITU recommendation.</w:t>
      </w:r>
    </w:p>
    <w:p w14:paraId="68544778" w14:textId="4B6567D2" w:rsidR="00CF56BC" w:rsidRPr="001F4A41" w:rsidRDefault="001F4A41" w:rsidP="001F4A41">
      <w:pPr>
        <w:ind w:left="360" w:hanging="360"/>
      </w:pPr>
      <w:r>
        <w:t>2.3</w:t>
      </w:r>
      <w:r>
        <w:tab/>
      </w:r>
      <w:r w:rsidR="00CF56BC" w:rsidRPr="001F4A41">
        <w:t>However, recogni</w:t>
      </w:r>
      <w:r w:rsidR="00B7601F">
        <w:t>s</w:t>
      </w:r>
      <w:r w:rsidR="00CF56BC" w:rsidRPr="001F4A41">
        <w:t>ing the immediate statutory constraints, our specific responses below advocate for the immediate reopening of the licensing process to remedy current market distortions.</w:t>
      </w:r>
    </w:p>
    <w:p w14:paraId="0446B6D7" w14:textId="07E08C85" w:rsidR="00CF56BC" w:rsidRPr="001F4A41" w:rsidRDefault="00CF56BC" w:rsidP="00CF56BC"/>
    <w:p w14:paraId="27E10D54" w14:textId="0FCB31DC" w:rsidR="00CF56BC" w:rsidRPr="001F4A41" w:rsidRDefault="00CF56BC" w:rsidP="001F4A41">
      <w:pPr>
        <w:pStyle w:val="Heading3"/>
        <w:numPr>
          <w:ilvl w:val="0"/>
          <w:numId w:val="2"/>
        </w:numPr>
        <w:rPr>
          <w:rFonts w:ascii="Century Gothic" w:hAnsi="Century Gothic"/>
          <w:color w:val="000000"/>
        </w:rPr>
      </w:pPr>
      <w:r w:rsidRPr="001F4A41">
        <w:rPr>
          <w:rFonts w:ascii="Century Gothic" w:hAnsi="Century Gothic"/>
          <w:color w:val="000000"/>
        </w:rPr>
        <w:t>Section 1: Transfer of Individual I-ECNS and I-ECS Licences Framework</w:t>
      </w:r>
    </w:p>
    <w:p w14:paraId="3D176FED" w14:textId="461FDDC6" w:rsidR="00F91C90" w:rsidRDefault="00F91C90" w:rsidP="00F91C90">
      <w:pPr>
        <w:pStyle w:val="NormalWeb"/>
        <w:ind w:left="360" w:hanging="360"/>
        <w:rPr>
          <w:rStyle w:val="apple-converted-space"/>
          <w:rFonts w:ascii="Century Gothic" w:hAnsi="Century Gothic"/>
          <w:color w:val="000000"/>
        </w:rPr>
      </w:pPr>
      <w:r w:rsidRPr="00F91C90">
        <w:rPr>
          <w:rFonts w:ascii="Century Gothic" w:hAnsi="Century Gothic"/>
          <w:color w:val="000000"/>
        </w:rPr>
        <w:t>3.1</w:t>
      </w:r>
      <w:r w:rsidRPr="00F91C90">
        <w:rPr>
          <w:rFonts w:ascii="Century Gothic" w:hAnsi="Century Gothic"/>
          <w:color w:val="000000"/>
        </w:rPr>
        <w:tab/>
      </w:r>
      <w:r w:rsidR="00CF56BC" w:rsidRPr="001F4A41">
        <w:rPr>
          <w:rFonts w:ascii="Century Gothic" w:hAnsi="Century Gothic"/>
          <w:b/>
          <w:bCs/>
          <w:color w:val="000000"/>
        </w:rPr>
        <w:t>Question 1.1: What are your views on the current licensing framework in relation to the sale and transfer of I-ECNS and I-ECS licences (section 13 of the ECA)?</w:t>
      </w:r>
    </w:p>
    <w:p w14:paraId="7FC92455" w14:textId="1730CC72" w:rsidR="00CF56BC" w:rsidRPr="001F4A41" w:rsidRDefault="00CF56BC" w:rsidP="00F91C90">
      <w:pPr>
        <w:pStyle w:val="NormalWeb"/>
        <w:ind w:left="360"/>
        <w:rPr>
          <w:rFonts w:ascii="Century Gothic" w:hAnsi="Century Gothic"/>
          <w:color w:val="000000"/>
        </w:rPr>
      </w:pPr>
      <w:r w:rsidRPr="001F4A41">
        <w:rPr>
          <w:rFonts w:ascii="Century Gothic" w:hAnsi="Century Gothic"/>
          <w:color w:val="000000"/>
        </w:rPr>
        <w:t>The current framework creates artificial scarcity. By halting the issuance of new I-ECNS licences, the Authority has inadvertently turned the licences themselves into tradable commodities with inflated "paper values" that do not reflect the value of actual infrastructure. This encourages rent-seeking behavio</w:t>
      </w:r>
      <w:r w:rsidR="00F91C90">
        <w:rPr>
          <w:rFonts w:ascii="Century Gothic" w:hAnsi="Century Gothic"/>
          <w:color w:val="000000"/>
        </w:rPr>
        <w:t>u</w:t>
      </w:r>
      <w:r w:rsidRPr="001F4A41">
        <w:rPr>
          <w:rFonts w:ascii="Century Gothic" w:hAnsi="Century Gothic"/>
          <w:color w:val="000000"/>
        </w:rPr>
        <w:t>r, where entities hold licences not to operate networks, but to sell them at a premium to genuine entrants. This effectively acts as a "private tax" on market entry, diverting capital away from infrastructure investment and towards regulatory compliance costs.</w:t>
      </w:r>
    </w:p>
    <w:p w14:paraId="3ED64C47" w14:textId="77777777" w:rsidR="00F91C90" w:rsidRDefault="00F91C90" w:rsidP="00F91C90">
      <w:pPr>
        <w:pStyle w:val="NormalWeb"/>
        <w:ind w:left="360" w:hanging="360"/>
        <w:rPr>
          <w:rStyle w:val="apple-converted-space"/>
          <w:rFonts w:ascii="Century Gothic" w:hAnsi="Century Gothic"/>
          <w:color w:val="000000"/>
        </w:rPr>
      </w:pPr>
      <w:r w:rsidRPr="00F91C90">
        <w:rPr>
          <w:rFonts w:ascii="Century Gothic" w:hAnsi="Century Gothic"/>
          <w:color w:val="000000"/>
        </w:rPr>
        <w:t>3.2</w:t>
      </w:r>
      <w:r w:rsidRPr="00F91C90">
        <w:rPr>
          <w:rFonts w:ascii="Century Gothic" w:hAnsi="Century Gothic"/>
          <w:color w:val="000000"/>
        </w:rPr>
        <w:tab/>
      </w:r>
      <w:r w:rsidR="00CF56BC" w:rsidRPr="001F4A41">
        <w:rPr>
          <w:rFonts w:ascii="Century Gothic" w:hAnsi="Century Gothic"/>
          <w:b/>
          <w:bCs/>
          <w:color w:val="000000"/>
        </w:rPr>
        <w:t>Question 1.2: In your view, should the Authority intervene in the current sale and transfer market to facilitate the purchase of existing licences?</w:t>
      </w:r>
      <w:r>
        <w:rPr>
          <w:rStyle w:val="apple-converted-space"/>
          <w:rFonts w:ascii="Century Gothic" w:hAnsi="Century Gothic"/>
          <w:color w:val="000000"/>
        </w:rPr>
        <w:t xml:space="preserve"> </w:t>
      </w:r>
    </w:p>
    <w:p w14:paraId="17F59A68" w14:textId="5BD05FBA" w:rsidR="00CD2BA6" w:rsidRPr="001F4A41" w:rsidRDefault="00CF56BC" w:rsidP="00B7601F">
      <w:pPr>
        <w:pStyle w:val="NormalWeb"/>
        <w:ind w:left="360"/>
        <w:rPr>
          <w:rFonts w:ascii="Century Gothic" w:hAnsi="Century Gothic"/>
          <w:color w:val="000000"/>
        </w:rPr>
      </w:pPr>
      <w:r w:rsidRPr="001F4A41">
        <w:rPr>
          <w:rFonts w:ascii="Century Gothic" w:hAnsi="Century Gothic"/>
          <w:color w:val="000000"/>
        </w:rPr>
        <w:t xml:space="preserve">Direct intervention in commercial pricing (price controls on transfers) is not recommended as it distorts market signals. The most effective intervention is </w:t>
      </w:r>
      <w:r w:rsidRPr="00F91C90">
        <w:rPr>
          <w:rFonts w:ascii="Century Gothic" w:hAnsi="Century Gothic"/>
          <w:color w:val="000000"/>
        </w:rPr>
        <w:t>to</w:t>
      </w:r>
      <w:r w:rsidR="00F91C90" w:rsidRPr="00F91C90">
        <w:rPr>
          <w:rStyle w:val="apple-converted-space"/>
          <w:rFonts w:ascii="Century Gothic" w:hAnsi="Century Gothic"/>
          <w:color w:val="000000"/>
        </w:rPr>
        <w:t xml:space="preserve"> </w:t>
      </w:r>
      <w:r w:rsidRPr="00F91C90">
        <w:rPr>
          <w:rFonts w:ascii="Century Gothic" w:hAnsi="Century Gothic"/>
          <w:color w:val="000000"/>
        </w:rPr>
        <w:t>eliminate the scarcity.</w:t>
      </w:r>
      <w:r w:rsidRPr="001F4A41">
        <w:rPr>
          <w:rFonts w:ascii="Century Gothic" w:hAnsi="Century Gothic"/>
          <w:color w:val="000000"/>
        </w:rPr>
        <w:t xml:space="preserve"> If the Authority issues new licences on application (as per the ECA), the inflated secondary market price for "dormant" licences will collapse, forcing hoarders to either roll out infrastructure or surrender the spectrum/licence.</w:t>
      </w:r>
    </w:p>
    <w:p w14:paraId="7B3ABABB" w14:textId="77777777" w:rsidR="00F91C90" w:rsidRDefault="00F91C90" w:rsidP="00F91C90">
      <w:pPr>
        <w:pStyle w:val="NormalWeb"/>
        <w:ind w:left="360" w:hanging="360"/>
        <w:rPr>
          <w:rStyle w:val="apple-converted-space"/>
          <w:rFonts w:ascii="Century Gothic" w:hAnsi="Century Gothic"/>
          <w:color w:val="000000"/>
        </w:rPr>
      </w:pPr>
      <w:r w:rsidRPr="00F91C90">
        <w:rPr>
          <w:rFonts w:ascii="Century Gothic" w:hAnsi="Century Gothic"/>
          <w:color w:val="000000"/>
        </w:rPr>
        <w:t>3.3</w:t>
      </w:r>
      <w:r>
        <w:rPr>
          <w:rFonts w:ascii="Century Gothic" w:hAnsi="Century Gothic"/>
          <w:b/>
          <w:bCs/>
          <w:color w:val="000000"/>
        </w:rPr>
        <w:tab/>
      </w:r>
      <w:r w:rsidR="00CF56BC" w:rsidRPr="001F4A41">
        <w:rPr>
          <w:rFonts w:ascii="Century Gothic" w:hAnsi="Century Gothic"/>
          <w:b/>
          <w:bCs/>
          <w:color w:val="000000"/>
        </w:rPr>
        <w:t>Question 1.3: What other considerations or interventions would be useful?</w:t>
      </w:r>
      <w:r w:rsidR="00CF56BC" w:rsidRPr="001F4A41">
        <w:rPr>
          <w:rStyle w:val="apple-converted-space"/>
          <w:rFonts w:ascii="Century Gothic" w:hAnsi="Century Gothic"/>
          <w:color w:val="000000"/>
        </w:rPr>
        <w:t> </w:t>
      </w:r>
    </w:p>
    <w:p w14:paraId="7A7504A9" w14:textId="71B8AEFB" w:rsidR="00CF56BC" w:rsidRDefault="00CF56BC" w:rsidP="00F91C90">
      <w:pPr>
        <w:pStyle w:val="NormalWeb"/>
        <w:ind w:left="360"/>
        <w:rPr>
          <w:rFonts w:ascii="Century Gothic" w:hAnsi="Century Gothic"/>
          <w:color w:val="000000"/>
        </w:rPr>
      </w:pPr>
      <w:r w:rsidRPr="001F4A41">
        <w:rPr>
          <w:rFonts w:ascii="Century Gothic" w:hAnsi="Century Gothic"/>
          <w:color w:val="000000"/>
        </w:rPr>
        <w:t>The Authority should enforce the "use it or lose it" provisions more strictly. However, the primary intervention must be the immediate lifting of the moratorium.</w:t>
      </w:r>
    </w:p>
    <w:p w14:paraId="51D93CCA" w14:textId="77777777" w:rsidR="00B7601F" w:rsidRPr="00F91C90" w:rsidRDefault="00B7601F" w:rsidP="00F91C90">
      <w:pPr>
        <w:pStyle w:val="NormalWeb"/>
        <w:ind w:left="360"/>
        <w:rPr>
          <w:rFonts w:ascii="Century Gothic" w:hAnsi="Century Gothic"/>
          <w:color w:val="000000"/>
        </w:rPr>
      </w:pPr>
    </w:p>
    <w:p w14:paraId="7640BB28" w14:textId="648B1AC5" w:rsidR="00CF56BC" w:rsidRPr="001F4A41" w:rsidRDefault="00CF56BC" w:rsidP="00F91C90">
      <w:pPr>
        <w:pStyle w:val="Heading3"/>
        <w:numPr>
          <w:ilvl w:val="0"/>
          <w:numId w:val="2"/>
        </w:numPr>
        <w:rPr>
          <w:rFonts w:ascii="Century Gothic" w:hAnsi="Century Gothic"/>
          <w:color w:val="000000"/>
        </w:rPr>
      </w:pPr>
      <w:r w:rsidRPr="001F4A41">
        <w:rPr>
          <w:rFonts w:ascii="Century Gothic" w:hAnsi="Century Gothic"/>
          <w:color w:val="000000"/>
        </w:rPr>
        <w:lastRenderedPageBreak/>
        <w:t>Section 2: The Demand for New Individual ECNS Licences</w:t>
      </w:r>
    </w:p>
    <w:p w14:paraId="2B661492" w14:textId="77777777" w:rsidR="00CD2BA6" w:rsidRDefault="00F91C90" w:rsidP="00F91C90">
      <w:pPr>
        <w:pStyle w:val="NormalWeb"/>
        <w:ind w:left="360" w:hanging="360"/>
        <w:rPr>
          <w:rStyle w:val="apple-converted-space"/>
          <w:rFonts w:ascii="Century Gothic" w:hAnsi="Century Gothic"/>
          <w:color w:val="000000"/>
        </w:rPr>
      </w:pPr>
      <w:r w:rsidRPr="00F91C90">
        <w:rPr>
          <w:rFonts w:ascii="Century Gothic" w:hAnsi="Century Gothic"/>
          <w:color w:val="000000"/>
        </w:rPr>
        <w:t>4.1</w:t>
      </w:r>
      <w:r>
        <w:rPr>
          <w:rFonts w:ascii="Century Gothic" w:hAnsi="Century Gothic"/>
          <w:b/>
          <w:bCs/>
          <w:color w:val="000000"/>
        </w:rPr>
        <w:tab/>
      </w:r>
      <w:r w:rsidR="00CF56BC" w:rsidRPr="001F4A41">
        <w:rPr>
          <w:rFonts w:ascii="Century Gothic" w:hAnsi="Century Gothic"/>
          <w:b/>
          <w:bCs/>
          <w:color w:val="000000"/>
        </w:rPr>
        <w:t>Question 2.1: In your view, are there sufficient market opportunities to justify issuing new I-ECNS and I-ECS licences?</w:t>
      </w:r>
    </w:p>
    <w:p w14:paraId="2C58DFCC" w14:textId="38A84B86" w:rsidR="00CF56BC" w:rsidRPr="001F4A41" w:rsidRDefault="00CF56BC" w:rsidP="00CD2BA6">
      <w:pPr>
        <w:pStyle w:val="NormalWeb"/>
        <w:ind w:left="360"/>
        <w:rPr>
          <w:rFonts w:ascii="Century Gothic" w:hAnsi="Century Gothic"/>
          <w:color w:val="000000"/>
        </w:rPr>
      </w:pPr>
      <w:r w:rsidRPr="001F4A41">
        <w:rPr>
          <w:rFonts w:ascii="Century Gothic" w:hAnsi="Century Gothic"/>
          <w:color w:val="000000"/>
        </w:rPr>
        <w:t>Yes. The demand profile has shifted from national macro-coverage (dominated by incumbents) to niche, high-value deployments.</w:t>
      </w:r>
    </w:p>
    <w:p w14:paraId="688E6F19" w14:textId="764CBDB5" w:rsidR="00CF56BC" w:rsidRPr="001F4A41" w:rsidRDefault="00CF56BC" w:rsidP="00CF56BC">
      <w:pPr>
        <w:pStyle w:val="NormalWeb"/>
        <w:numPr>
          <w:ilvl w:val="0"/>
          <w:numId w:val="16"/>
        </w:numPr>
        <w:rPr>
          <w:rFonts w:ascii="Century Gothic" w:hAnsi="Century Gothic"/>
          <w:color w:val="000000"/>
        </w:rPr>
      </w:pPr>
      <w:r w:rsidRPr="001F4A41">
        <w:rPr>
          <w:rFonts w:ascii="Century Gothic" w:hAnsi="Century Gothic"/>
          <w:b/>
          <w:bCs/>
          <w:color w:val="000000"/>
        </w:rPr>
        <w:t>Private 5G Networks:</w:t>
      </w:r>
      <w:r w:rsidR="00CD2BA6">
        <w:rPr>
          <w:rStyle w:val="apple-converted-space"/>
          <w:rFonts w:ascii="Century Gothic" w:hAnsi="Century Gothic"/>
          <w:color w:val="000000"/>
        </w:rPr>
        <w:t xml:space="preserve"> </w:t>
      </w:r>
      <w:r w:rsidRPr="001F4A41">
        <w:rPr>
          <w:rFonts w:ascii="Century Gothic" w:hAnsi="Century Gothic"/>
          <w:color w:val="000000"/>
        </w:rPr>
        <w:t>Mining, manufacturing, and logistics sectors require private I-ECNS licences to run campus networks.</w:t>
      </w:r>
    </w:p>
    <w:p w14:paraId="3B48F1B1" w14:textId="76F7D57A" w:rsidR="00CF56BC" w:rsidRPr="001F4A41" w:rsidRDefault="00CF56BC" w:rsidP="00CF56BC">
      <w:pPr>
        <w:pStyle w:val="NormalWeb"/>
        <w:numPr>
          <w:ilvl w:val="0"/>
          <w:numId w:val="16"/>
        </w:numPr>
        <w:rPr>
          <w:rFonts w:ascii="Century Gothic" w:hAnsi="Century Gothic"/>
          <w:color w:val="000000"/>
        </w:rPr>
      </w:pPr>
      <w:r w:rsidRPr="001F4A41">
        <w:rPr>
          <w:rFonts w:ascii="Century Gothic" w:hAnsi="Century Gothic"/>
          <w:b/>
          <w:bCs/>
          <w:color w:val="000000"/>
        </w:rPr>
        <w:t>Community Networks:</w:t>
      </w:r>
      <w:r w:rsidR="00CD2BA6">
        <w:rPr>
          <w:rStyle w:val="apple-converted-space"/>
          <w:rFonts w:ascii="Century Gothic" w:hAnsi="Century Gothic"/>
          <w:color w:val="000000"/>
        </w:rPr>
        <w:t xml:space="preserve"> </w:t>
      </w:r>
      <w:r w:rsidRPr="001F4A41">
        <w:rPr>
          <w:rFonts w:ascii="Century Gothic" w:hAnsi="Century Gothic"/>
          <w:color w:val="000000"/>
        </w:rPr>
        <w:t>Underserved rural areas remain unattractive to national incumbents but are viable for smaller, regional Wireless Internet Service Providers (WISPs).</w:t>
      </w:r>
    </w:p>
    <w:p w14:paraId="786CE472" w14:textId="642DE0A2" w:rsidR="00CF56BC" w:rsidRPr="001F4A41" w:rsidRDefault="00CF56BC" w:rsidP="00CF56BC">
      <w:pPr>
        <w:pStyle w:val="NormalWeb"/>
        <w:numPr>
          <w:ilvl w:val="0"/>
          <w:numId w:val="16"/>
        </w:numPr>
        <w:rPr>
          <w:rFonts w:ascii="Century Gothic" w:hAnsi="Century Gothic"/>
          <w:color w:val="000000"/>
        </w:rPr>
      </w:pPr>
      <w:r w:rsidRPr="001F4A41">
        <w:rPr>
          <w:rFonts w:ascii="Century Gothic" w:hAnsi="Century Gothic"/>
          <w:b/>
          <w:bCs/>
          <w:color w:val="000000"/>
        </w:rPr>
        <w:t>Wholesale Open Access:</w:t>
      </w:r>
      <w:r w:rsidR="00CD2BA6">
        <w:rPr>
          <w:rStyle w:val="apple-converted-space"/>
          <w:rFonts w:ascii="Century Gothic" w:hAnsi="Century Gothic"/>
          <w:color w:val="000000"/>
        </w:rPr>
        <w:t xml:space="preserve"> </w:t>
      </w:r>
      <w:r w:rsidRPr="001F4A41">
        <w:rPr>
          <w:rFonts w:ascii="Century Gothic" w:hAnsi="Century Gothic"/>
          <w:color w:val="000000"/>
        </w:rPr>
        <w:t>New entrants focusing purely on passive infrastructure (fibre/tower providers) require I-ECNS status to operate legally.</w:t>
      </w:r>
    </w:p>
    <w:p w14:paraId="6CEAF6C8" w14:textId="77777777" w:rsidR="00CD2BA6" w:rsidRDefault="00F91C90" w:rsidP="00F91C90">
      <w:pPr>
        <w:pStyle w:val="NormalWeb"/>
        <w:ind w:left="360" w:hanging="360"/>
        <w:rPr>
          <w:rStyle w:val="apple-converted-space"/>
          <w:rFonts w:ascii="Century Gothic" w:hAnsi="Century Gothic"/>
          <w:color w:val="000000"/>
        </w:rPr>
      </w:pPr>
      <w:r w:rsidRPr="00F91C90">
        <w:rPr>
          <w:rFonts w:ascii="Century Gothic" w:hAnsi="Century Gothic"/>
          <w:color w:val="000000"/>
        </w:rPr>
        <w:t>4.2</w:t>
      </w:r>
      <w:r>
        <w:rPr>
          <w:rFonts w:ascii="Century Gothic" w:hAnsi="Century Gothic"/>
          <w:b/>
          <w:bCs/>
          <w:color w:val="000000"/>
        </w:rPr>
        <w:tab/>
      </w:r>
      <w:r w:rsidR="00CF56BC" w:rsidRPr="001F4A41">
        <w:rPr>
          <w:rFonts w:ascii="Century Gothic" w:hAnsi="Century Gothic"/>
          <w:b/>
          <w:bCs/>
          <w:color w:val="000000"/>
        </w:rPr>
        <w:t>Question 2.2: Technology and Architecture</w:t>
      </w:r>
    </w:p>
    <w:p w14:paraId="0484DEC1" w14:textId="254F43DB" w:rsidR="00CF56BC" w:rsidRPr="001F4A41" w:rsidRDefault="00CF56BC" w:rsidP="00CD2BA6">
      <w:pPr>
        <w:pStyle w:val="NormalWeb"/>
        <w:ind w:left="360"/>
        <w:rPr>
          <w:rFonts w:ascii="Century Gothic" w:hAnsi="Century Gothic"/>
          <w:color w:val="000000"/>
        </w:rPr>
      </w:pPr>
      <w:r w:rsidRPr="001F4A41">
        <w:rPr>
          <w:rFonts w:ascii="Century Gothic" w:hAnsi="Century Gothic"/>
          <w:color w:val="000000"/>
        </w:rPr>
        <w:t>New licensees are likely to utilise:</w:t>
      </w:r>
    </w:p>
    <w:p w14:paraId="786256D2" w14:textId="5E969FFB" w:rsidR="00CF56BC" w:rsidRPr="001F4A41" w:rsidRDefault="00CF56BC" w:rsidP="00CF56BC">
      <w:pPr>
        <w:pStyle w:val="NormalWeb"/>
        <w:numPr>
          <w:ilvl w:val="0"/>
          <w:numId w:val="17"/>
        </w:numPr>
        <w:rPr>
          <w:rFonts w:ascii="Century Gothic" w:hAnsi="Century Gothic"/>
          <w:color w:val="000000"/>
        </w:rPr>
      </w:pPr>
      <w:r w:rsidRPr="001F4A41">
        <w:rPr>
          <w:rFonts w:ascii="Century Gothic" w:hAnsi="Century Gothic"/>
          <w:b/>
          <w:bCs/>
          <w:color w:val="000000"/>
        </w:rPr>
        <w:t>Low Earth Orbit (LEO) Satellite technology:</w:t>
      </w:r>
      <w:r w:rsidR="00CD2BA6">
        <w:rPr>
          <w:rStyle w:val="apple-converted-space"/>
          <w:rFonts w:ascii="Century Gothic" w:hAnsi="Century Gothic"/>
          <w:color w:val="000000"/>
        </w:rPr>
        <w:t xml:space="preserve"> </w:t>
      </w:r>
      <w:r w:rsidRPr="001F4A41">
        <w:rPr>
          <w:rFonts w:ascii="Century Gothic" w:hAnsi="Century Gothic"/>
          <w:color w:val="000000"/>
        </w:rPr>
        <w:t>Requiring national I-ECNS authorisation for earth stations and service provision.</w:t>
      </w:r>
    </w:p>
    <w:p w14:paraId="6FA9A5C8" w14:textId="14CC51AC" w:rsidR="00CF56BC" w:rsidRPr="001F4A41" w:rsidRDefault="00CF56BC" w:rsidP="00CF56BC">
      <w:pPr>
        <w:pStyle w:val="NormalWeb"/>
        <w:numPr>
          <w:ilvl w:val="0"/>
          <w:numId w:val="17"/>
        </w:numPr>
        <w:rPr>
          <w:rFonts w:ascii="Century Gothic" w:hAnsi="Century Gothic"/>
          <w:color w:val="000000"/>
        </w:rPr>
      </w:pPr>
      <w:r w:rsidRPr="001F4A41">
        <w:rPr>
          <w:rFonts w:ascii="Century Gothic" w:hAnsi="Century Gothic"/>
          <w:b/>
          <w:bCs/>
          <w:color w:val="000000"/>
        </w:rPr>
        <w:t>TV White Spaces (TVWS):</w:t>
      </w:r>
      <w:r w:rsidR="00CD2BA6">
        <w:rPr>
          <w:rStyle w:val="apple-converted-space"/>
          <w:rFonts w:ascii="Century Gothic" w:hAnsi="Century Gothic"/>
          <w:color w:val="000000"/>
        </w:rPr>
        <w:t xml:space="preserve"> </w:t>
      </w:r>
      <w:r w:rsidRPr="001F4A41">
        <w:rPr>
          <w:rFonts w:ascii="Century Gothic" w:hAnsi="Century Gothic"/>
          <w:color w:val="000000"/>
        </w:rPr>
        <w:t>For rural broadband connectivity.</w:t>
      </w:r>
    </w:p>
    <w:p w14:paraId="5A49CE49" w14:textId="48C7A3A2" w:rsidR="00CF56BC" w:rsidRPr="001F4A41" w:rsidRDefault="00CF56BC" w:rsidP="00CF56BC">
      <w:pPr>
        <w:pStyle w:val="NormalWeb"/>
        <w:numPr>
          <w:ilvl w:val="0"/>
          <w:numId w:val="17"/>
        </w:numPr>
        <w:rPr>
          <w:rFonts w:ascii="Century Gothic" w:hAnsi="Century Gothic"/>
          <w:color w:val="000000"/>
        </w:rPr>
      </w:pPr>
      <w:r w:rsidRPr="001F4A41">
        <w:rPr>
          <w:rFonts w:ascii="Century Gothic" w:hAnsi="Century Gothic"/>
          <w:b/>
          <w:bCs/>
          <w:color w:val="000000"/>
        </w:rPr>
        <w:t>Software Defined Networks (SDN):</w:t>
      </w:r>
      <w:r w:rsidR="00CD2BA6">
        <w:rPr>
          <w:rStyle w:val="apple-converted-space"/>
          <w:rFonts w:ascii="Century Gothic" w:hAnsi="Century Gothic"/>
          <w:color w:val="000000"/>
        </w:rPr>
        <w:t xml:space="preserve"> </w:t>
      </w:r>
      <w:r w:rsidRPr="001F4A41">
        <w:rPr>
          <w:rFonts w:ascii="Century Gothic" w:hAnsi="Century Gothic"/>
          <w:color w:val="000000"/>
        </w:rPr>
        <w:t>Which decouple services from hardware, further necessitating a flexible licensing regime.</w:t>
      </w:r>
    </w:p>
    <w:p w14:paraId="066E599C" w14:textId="77777777" w:rsidR="00CD2BA6" w:rsidRDefault="00F91C90" w:rsidP="00F91C90">
      <w:pPr>
        <w:pStyle w:val="NormalWeb"/>
        <w:ind w:left="360" w:hanging="360"/>
        <w:rPr>
          <w:rStyle w:val="apple-converted-space"/>
          <w:rFonts w:ascii="Century Gothic" w:hAnsi="Century Gothic"/>
          <w:color w:val="000000"/>
        </w:rPr>
      </w:pPr>
      <w:r w:rsidRPr="00F91C90">
        <w:rPr>
          <w:rFonts w:ascii="Century Gothic" w:hAnsi="Century Gothic"/>
          <w:color w:val="000000"/>
        </w:rPr>
        <w:t>4.3</w:t>
      </w:r>
      <w:r w:rsidRPr="00F91C90">
        <w:rPr>
          <w:rFonts w:ascii="Century Gothic" w:hAnsi="Century Gothic"/>
          <w:color w:val="000000"/>
        </w:rPr>
        <w:tab/>
      </w:r>
      <w:r w:rsidR="00CF56BC" w:rsidRPr="001F4A41">
        <w:rPr>
          <w:rFonts w:ascii="Century Gothic" w:hAnsi="Century Gothic"/>
          <w:b/>
          <w:bCs/>
          <w:color w:val="000000"/>
        </w:rPr>
        <w:t>Question 2.6: Additional Points on Demand</w:t>
      </w:r>
    </w:p>
    <w:p w14:paraId="769BAFA5" w14:textId="5F3969CA" w:rsidR="00B7601F" w:rsidRPr="00F91C90" w:rsidRDefault="00B7601F" w:rsidP="00CD2BA6">
      <w:pPr>
        <w:pStyle w:val="NormalWeb"/>
        <w:ind w:left="360"/>
        <w:rPr>
          <w:rFonts w:ascii="Century Gothic" w:hAnsi="Century Gothic"/>
          <w:color w:val="000000"/>
        </w:rPr>
      </w:pPr>
      <w:r w:rsidRPr="00B7601F">
        <w:rPr>
          <w:rFonts w:ascii="Century Gothic" w:hAnsi="Century Gothic"/>
          <w:color w:val="000000"/>
        </w:rPr>
        <w:t>The sustained volume of licence transfer applications each year, despite high secondary-market acquisition costs and lengthy approval processes, indicates the presence of suppressed demand. It is reasonable to infer that the number of market entrants would increase materially if entry were enabled through a direct authorisation or notification-based framework rather than requiring costly secondary-market licence acquisition.</w:t>
      </w:r>
    </w:p>
    <w:p w14:paraId="1939CC2C" w14:textId="58CCA382" w:rsidR="00CF56BC" w:rsidRPr="001F4A41" w:rsidRDefault="00F91C90" w:rsidP="00CF56BC">
      <w:pPr>
        <w:pStyle w:val="Heading3"/>
        <w:rPr>
          <w:rFonts w:ascii="Century Gothic" w:hAnsi="Century Gothic"/>
          <w:color w:val="000000"/>
        </w:rPr>
      </w:pPr>
      <w:r>
        <w:rPr>
          <w:rFonts w:ascii="Century Gothic" w:hAnsi="Century Gothic"/>
          <w:color w:val="000000"/>
        </w:rPr>
        <w:t>5.</w:t>
      </w:r>
      <w:r>
        <w:rPr>
          <w:rFonts w:ascii="Century Gothic" w:hAnsi="Century Gothic"/>
          <w:color w:val="000000"/>
        </w:rPr>
        <w:tab/>
      </w:r>
      <w:r w:rsidR="00CF56BC" w:rsidRPr="001F4A41">
        <w:rPr>
          <w:rFonts w:ascii="Century Gothic" w:hAnsi="Century Gothic"/>
          <w:color w:val="000000"/>
        </w:rPr>
        <w:t>Section 3: Competition in the Market</w:t>
      </w:r>
    </w:p>
    <w:p w14:paraId="6310F7CA" w14:textId="0B7F991E" w:rsidR="00F91C90" w:rsidRDefault="00F91C90" w:rsidP="00F91C90">
      <w:pPr>
        <w:pStyle w:val="NormalWeb"/>
        <w:ind w:left="426" w:hanging="426"/>
        <w:rPr>
          <w:rFonts w:ascii="Century Gothic" w:hAnsi="Century Gothic"/>
          <w:color w:val="000000"/>
        </w:rPr>
      </w:pPr>
      <w:r w:rsidRPr="00F91C90">
        <w:rPr>
          <w:rFonts w:ascii="Century Gothic" w:hAnsi="Century Gothic"/>
          <w:color w:val="000000"/>
        </w:rPr>
        <w:t>5.1</w:t>
      </w:r>
      <w:r w:rsidRPr="00F91C90">
        <w:rPr>
          <w:rFonts w:ascii="Century Gothic" w:hAnsi="Century Gothic"/>
          <w:color w:val="000000"/>
        </w:rPr>
        <w:tab/>
      </w:r>
      <w:r w:rsidR="00CF56BC" w:rsidRPr="001F4A41">
        <w:rPr>
          <w:rFonts w:ascii="Century Gothic" w:hAnsi="Century Gothic"/>
          <w:b/>
          <w:bCs/>
          <w:color w:val="000000"/>
        </w:rPr>
        <w:t>Question 3.1: Do you believe that new I-ECNS licences will promote or improve competition?</w:t>
      </w:r>
    </w:p>
    <w:p w14:paraId="138C4994" w14:textId="4A4DCB4A" w:rsidR="00F91C90" w:rsidRDefault="00F91C90" w:rsidP="00F91C90">
      <w:pPr>
        <w:pStyle w:val="NormalWeb"/>
        <w:ind w:left="426"/>
        <w:rPr>
          <w:rFonts w:ascii="Century Gothic" w:hAnsi="Century Gothic"/>
          <w:color w:val="000000"/>
        </w:rPr>
      </w:pPr>
      <w:r>
        <w:rPr>
          <w:rFonts w:ascii="Century Gothic" w:hAnsi="Century Gothic"/>
          <w:color w:val="000000"/>
        </w:rPr>
        <w:t>Y</w:t>
      </w:r>
      <w:r w:rsidR="00CF56BC" w:rsidRPr="001F4A41">
        <w:rPr>
          <w:rFonts w:ascii="Century Gothic" w:hAnsi="Century Gothic"/>
          <w:color w:val="000000"/>
        </w:rPr>
        <w:t>es. Economic theory suggests that reducing barriers to entry limits the ability of incumbents to exercise market power. Even the</w:t>
      </w:r>
      <w:r>
        <w:rPr>
          <w:rStyle w:val="apple-converted-space"/>
          <w:rFonts w:ascii="Century Gothic" w:hAnsi="Century Gothic"/>
          <w:color w:val="000000"/>
        </w:rPr>
        <w:t xml:space="preserve"> </w:t>
      </w:r>
      <w:r w:rsidR="00CF56BC" w:rsidRPr="001F4A41">
        <w:rPr>
          <w:rFonts w:ascii="Century Gothic" w:hAnsi="Century Gothic"/>
          <w:i/>
          <w:iCs/>
          <w:color w:val="000000"/>
        </w:rPr>
        <w:t>threat</w:t>
      </w:r>
      <w:r>
        <w:rPr>
          <w:rFonts w:ascii="Century Gothic" w:hAnsi="Century Gothic"/>
          <w:i/>
          <w:iCs/>
          <w:color w:val="000000"/>
        </w:rPr>
        <w:t xml:space="preserve"> </w:t>
      </w:r>
      <w:r w:rsidR="00CF56BC" w:rsidRPr="001F4A41">
        <w:rPr>
          <w:rFonts w:ascii="Century Gothic" w:hAnsi="Century Gothic"/>
          <w:color w:val="000000"/>
        </w:rPr>
        <w:t xml:space="preserve">of new entry (contestability) forces incumbents to innovate and price competitively. </w:t>
      </w:r>
    </w:p>
    <w:p w14:paraId="09BBDE38" w14:textId="732A0EF8" w:rsidR="008D443B" w:rsidRPr="008D443B" w:rsidRDefault="008D443B" w:rsidP="008D443B">
      <w:pPr>
        <w:pStyle w:val="NormalWeb"/>
        <w:ind w:left="426"/>
        <w:rPr>
          <w:rFonts w:ascii="Century Gothic" w:hAnsi="Century Gothic"/>
          <w:color w:val="000000"/>
        </w:rPr>
      </w:pPr>
      <w:r w:rsidRPr="008D443B">
        <w:rPr>
          <w:rFonts w:ascii="Century Gothic" w:hAnsi="Century Gothic"/>
          <w:color w:val="000000"/>
        </w:rPr>
        <w:lastRenderedPageBreak/>
        <w:t>In the context of electronic communications networks, enabling new I-ECNS authorisations (or equivalent authorisation-based entry) can stimulate</w:t>
      </w:r>
      <w:r>
        <w:rPr>
          <w:rFonts w:ascii="Century Gothic" w:hAnsi="Century Gothic"/>
          <w:color w:val="000000"/>
        </w:rPr>
        <w:t xml:space="preserve"> </w:t>
      </w:r>
      <w:r w:rsidRPr="008D443B">
        <w:rPr>
          <w:rFonts w:ascii="Century Gothic" w:hAnsi="Century Gothic"/>
          <w:color w:val="000000"/>
        </w:rPr>
        <w:t>competition not only through direct rivalry, but also by encouraging alternative network models, niche and regional infrastructure deployment, and wholesale-driven competition. Importantly, the introduction of additional authorisations reduces reliance on secondary-market licence transfers, shifts competitive focus from regulatory scarcity to infrastructure investment and service quality, and supports dynamic competition over time.</w:t>
      </w:r>
    </w:p>
    <w:p w14:paraId="3C9350B0" w14:textId="4DB25B57" w:rsidR="008D443B" w:rsidRDefault="008D443B" w:rsidP="008D443B">
      <w:pPr>
        <w:pStyle w:val="NormalWeb"/>
        <w:ind w:left="426"/>
        <w:rPr>
          <w:rFonts w:ascii="Century Gothic" w:hAnsi="Century Gothic"/>
          <w:color w:val="000000"/>
        </w:rPr>
      </w:pPr>
      <w:r w:rsidRPr="008D443B">
        <w:rPr>
          <w:rFonts w:ascii="Century Gothic" w:hAnsi="Century Gothic"/>
          <w:color w:val="000000"/>
        </w:rPr>
        <w:t>Accordingly, provided that entry is accompanied by proportionate regulatory safeguards and effective competition-law oversight, the issuance of new I-ECNS licences</w:t>
      </w:r>
      <w:r>
        <w:rPr>
          <w:rFonts w:ascii="Century Gothic" w:hAnsi="Century Gothic"/>
          <w:color w:val="000000"/>
        </w:rPr>
        <w:t xml:space="preserve">, </w:t>
      </w:r>
      <w:r w:rsidRPr="008D443B">
        <w:rPr>
          <w:rFonts w:ascii="Century Gothic" w:hAnsi="Century Gothic"/>
          <w:color w:val="000000"/>
        </w:rPr>
        <w:t>or the transition to a more open authorisation framework</w:t>
      </w:r>
      <w:r>
        <w:rPr>
          <w:rFonts w:ascii="Century Gothic" w:hAnsi="Century Gothic"/>
          <w:color w:val="000000"/>
        </w:rPr>
        <w:t xml:space="preserve">, </w:t>
      </w:r>
      <w:r w:rsidRPr="008D443B">
        <w:rPr>
          <w:rFonts w:ascii="Century Gothic" w:hAnsi="Century Gothic"/>
          <w:color w:val="000000"/>
        </w:rPr>
        <w:t>would be expected to promote more sustainable and innovation-driven competition in South Africa’s electronic communications sector</w:t>
      </w:r>
      <w:r>
        <w:rPr>
          <w:rFonts w:ascii="Century Gothic" w:hAnsi="Century Gothic"/>
          <w:color w:val="000000"/>
        </w:rPr>
        <w:t>.</w:t>
      </w:r>
    </w:p>
    <w:p w14:paraId="37CDB105" w14:textId="77777777" w:rsidR="00F91C90" w:rsidRDefault="00F91C90" w:rsidP="00F91C90">
      <w:pPr>
        <w:pStyle w:val="NormalWeb"/>
        <w:ind w:left="426" w:hanging="426"/>
        <w:rPr>
          <w:rStyle w:val="apple-converted-space"/>
          <w:rFonts w:ascii="Century Gothic" w:hAnsi="Century Gothic"/>
          <w:color w:val="000000"/>
        </w:rPr>
      </w:pPr>
      <w:r w:rsidRPr="00F91C90">
        <w:rPr>
          <w:rFonts w:ascii="Century Gothic" w:hAnsi="Century Gothic"/>
          <w:color w:val="000000"/>
        </w:rPr>
        <w:t>5.2</w:t>
      </w:r>
      <w:r w:rsidRPr="00F91C90">
        <w:rPr>
          <w:rFonts w:ascii="Century Gothic" w:hAnsi="Century Gothic"/>
          <w:color w:val="000000"/>
        </w:rPr>
        <w:tab/>
      </w:r>
      <w:r w:rsidR="00CF56BC" w:rsidRPr="001F4A41">
        <w:rPr>
          <w:rFonts w:ascii="Century Gothic" w:hAnsi="Century Gothic"/>
          <w:b/>
          <w:bCs/>
          <w:color w:val="000000"/>
        </w:rPr>
        <w:t>Question 3.2: Competition issues or concerns?</w:t>
      </w:r>
    </w:p>
    <w:p w14:paraId="0004E16B" w14:textId="0E75E824" w:rsidR="00D75490" w:rsidRDefault="00D75490" w:rsidP="00D75490">
      <w:pPr>
        <w:pStyle w:val="NormalWeb"/>
        <w:ind w:left="426"/>
        <w:rPr>
          <w:rFonts w:ascii="Century Gothic" w:hAnsi="Century Gothic"/>
          <w:color w:val="000000"/>
        </w:rPr>
      </w:pPr>
      <w:r w:rsidRPr="00D75490">
        <w:rPr>
          <w:rFonts w:ascii="Century Gothic" w:hAnsi="Century Gothic"/>
          <w:color w:val="000000"/>
        </w:rPr>
        <w:t>The issuance of a new I-ECNS licence is an important enabler of competition but, on its own, may not be sufficient to ensure effective market entry, particularly where access to essential inputs such as high-demand IMT spectrum remains constrained. In the mobile communications market, spectrum availability is a critical determinant of competitive viability, and new licensees without timely access to appropriate spectrum may face structural disadvantages that limit their ability to compete sustainably.</w:t>
      </w:r>
    </w:p>
    <w:p w14:paraId="655C0D9A" w14:textId="4EA69B6B" w:rsidR="00D75490" w:rsidRPr="001F4A41" w:rsidRDefault="00D75490" w:rsidP="00D75490">
      <w:pPr>
        <w:pStyle w:val="NormalWeb"/>
        <w:ind w:left="426"/>
        <w:rPr>
          <w:rFonts w:ascii="Century Gothic" w:hAnsi="Century Gothic"/>
          <w:color w:val="000000"/>
        </w:rPr>
      </w:pPr>
      <w:r w:rsidRPr="00D75490">
        <w:rPr>
          <w:rFonts w:ascii="Century Gothic" w:hAnsi="Century Gothic"/>
          <w:color w:val="000000"/>
        </w:rPr>
        <w:t>In addition, regulatory and procedural delays</w:t>
      </w:r>
      <w:r>
        <w:rPr>
          <w:rFonts w:ascii="Century Gothic" w:hAnsi="Century Gothic"/>
          <w:color w:val="000000"/>
        </w:rPr>
        <w:t xml:space="preserve">, </w:t>
      </w:r>
      <w:r w:rsidRPr="00D75490">
        <w:rPr>
          <w:rFonts w:ascii="Century Gothic" w:hAnsi="Century Gothic"/>
          <w:color w:val="000000"/>
        </w:rPr>
        <w:t>whether arising from licensing processes, coordination across regulatory bodies, or the exercise of lawful appeal and review mechanisms</w:t>
      </w:r>
      <w:r>
        <w:rPr>
          <w:rFonts w:ascii="Century Gothic" w:hAnsi="Century Gothic"/>
          <w:color w:val="000000"/>
        </w:rPr>
        <w:t xml:space="preserve">, </w:t>
      </w:r>
      <w:r w:rsidRPr="00D75490">
        <w:rPr>
          <w:rFonts w:ascii="Century Gothic" w:hAnsi="Century Gothic"/>
          <w:color w:val="000000"/>
        </w:rPr>
        <w:t>can extend time-to-market for new entrants. While such processes form part of the legitimate regulatory framework, prolonged uncertainty may inadvertently slow competitive outcomes. Addressing these issues through clearer timelines, coordinated regulatory processes and transparent spectrum roadmaps would help ensure that new licences translate into meaningful and durable competition.</w:t>
      </w:r>
    </w:p>
    <w:p w14:paraId="34EBA8CC" w14:textId="76A71856" w:rsidR="00CF56BC" w:rsidRPr="001F4A41" w:rsidRDefault="00F91C90" w:rsidP="00CF56BC">
      <w:pPr>
        <w:pStyle w:val="NormalWeb"/>
        <w:rPr>
          <w:rFonts w:ascii="Century Gothic" w:hAnsi="Century Gothic"/>
          <w:color w:val="000000"/>
        </w:rPr>
      </w:pPr>
      <w:r w:rsidRPr="00F91C90">
        <w:rPr>
          <w:rFonts w:ascii="Century Gothic" w:hAnsi="Century Gothic"/>
          <w:color w:val="000000"/>
        </w:rPr>
        <w:t>5.3</w:t>
      </w:r>
      <w:r>
        <w:rPr>
          <w:rFonts w:ascii="Century Gothic" w:hAnsi="Century Gothic"/>
          <w:b/>
          <w:bCs/>
          <w:color w:val="000000"/>
        </w:rPr>
        <w:t xml:space="preserve"> </w:t>
      </w:r>
      <w:r w:rsidR="00CF56BC" w:rsidRPr="001F4A41">
        <w:rPr>
          <w:rFonts w:ascii="Century Gothic" w:hAnsi="Century Gothic"/>
          <w:b/>
          <w:bCs/>
          <w:color w:val="000000"/>
        </w:rPr>
        <w:t>Question 3.3: Regulatory Measures and Remedies</w:t>
      </w:r>
    </w:p>
    <w:p w14:paraId="4DC2A458" w14:textId="2269D3A1" w:rsidR="00D75490" w:rsidRPr="00D75490" w:rsidRDefault="00D75490" w:rsidP="00D75490">
      <w:pPr>
        <w:pStyle w:val="NormalWeb"/>
        <w:numPr>
          <w:ilvl w:val="0"/>
          <w:numId w:val="18"/>
        </w:numPr>
        <w:rPr>
          <w:rFonts w:ascii="Century Gothic" w:hAnsi="Century Gothic"/>
          <w:color w:val="000000"/>
        </w:rPr>
      </w:pPr>
      <w:r w:rsidRPr="00D75490">
        <w:rPr>
          <w:rFonts w:ascii="Century Gothic" w:hAnsi="Century Gothic"/>
          <w:b/>
          <w:bCs/>
          <w:color w:val="000000"/>
        </w:rPr>
        <w:t>Spectrum access and sharing (DSA / opportunistic spectrum management):</w:t>
      </w:r>
      <w:r>
        <w:rPr>
          <w:rFonts w:ascii="Century Gothic" w:hAnsi="Century Gothic"/>
          <w:color w:val="000000"/>
        </w:rPr>
        <w:t xml:space="preserve"> </w:t>
      </w:r>
      <w:r w:rsidRPr="00D75490">
        <w:rPr>
          <w:rFonts w:ascii="Century Gothic" w:hAnsi="Century Gothic"/>
          <w:color w:val="000000"/>
        </w:rPr>
        <w:t>ICASA should ensure that the introduction of new I-ECNS licences is accompanied by</w:t>
      </w:r>
      <w:r>
        <w:rPr>
          <w:rFonts w:ascii="Century Gothic" w:hAnsi="Century Gothic"/>
          <w:color w:val="000000"/>
        </w:rPr>
        <w:t xml:space="preserve"> </w:t>
      </w:r>
      <w:r w:rsidRPr="00D75490">
        <w:rPr>
          <w:rFonts w:ascii="Century Gothic" w:hAnsi="Century Gothic"/>
          <w:color w:val="000000"/>
        </w:rPr>
        <w:t>workable mechanisms for access to spectrum where scarcity is the binding constraint, including</w:t>
      </w:r>
      <w:r>
        <w:rPr>
          <w:rFonts w:ascii="Century Gothic" w:hAnsi="Century Gothic"/>
          <w:color w:val="000000"/>
        </w:rPr>
        <w:t xml:space="preserve"> </w:t>
      </w:r>
      <w:r w:rsidRPr="00D75490">
        <w:rPr>
          <w:rFonts w:ascii="Century Gothic" w:hAnsi="Century Gothic"/>
          <w:color w:val="000000"/>
        </w:rPr>
        <w:t>dynamic spectrum access and opportunistic spectrum management</w:t>
      </w:r>
      <w:r>
        <w:rPr>
          <w:rFonts w:ascii="Century Gothic" w:hAnsi="Century Gothic"/>
          <w:b/>
          <w:bCs/>
          <w:color w:val="000000"/>
        </w:rPr>
        <w:t xml:space="preserve"> </w:t>
      </w:r>
      <w:r w:rsidRPr="00D75490">
        <w:rPr>
          <w:rFonts w:ascii="Century Gothic" w:hAnsi="Century Gothic"/>
          <w:color w:val="000000"/>
        </w:rPr>
        <w:t>frameworks</w:t>
      </w:r>
      <w:r>
        <w:rPr>
          <w:rFonts w:ascii="Century Gothic" w:hAnsi="Century Gothic"/>
          <w:color w:val="000000"/>
        </w:rPr>
        <w:t xml:space="preserve"> </w:t>
      </w:r>
      <w:r w:rsidRPr="00D75490">
        <w:rPr>
          <w:rFonts w:ascii="Century Gothic" w:hAnsi="Century Gothic"/>
          <w:color w:val="000000"/>
        </w:rPr>
        <w:t>in appropriate bands.</w:t>
      </w:r>
    </w:p>
    <w:p w14:paraId="755724ED" w14:textId="4A254A63" w:rsidR="00D75490" w:rsidRPr="008D0AF6" w:rsidRDefault="00D75490" w:rsidP="008D0AF6">
      <w:pPr>
        <w:pStyle w:val="NormalWeb"/>
        <w:numPr>
          <w:ilvl w:val="0"/>
          <w:numId w:val="18"/>
        </w:numPr>
        <w:rPr>
          <w:rFonts w:ascii="Century Gothic" w:hAnsi="Century Gothic"/>
          <w:color w:val="000000"/>
        </w:rPr>
      </w:pPr>
      <w:r w:rsidRPr="008D0AF6">
        <w:rPr>
          <w:rFonts w:ascii="Century Gothic" w:hAnsi="Century Gothic"/>
          <w:b/>
          <w:bCs/>
          <w:color w:val="000000"/>
        </w:rPr>
        <w:lastRenderedPageBreak/>
        <w:t xml:space="preserve">Facilities leasing and infrastructure access (ECA section 43 </w:t>
      </w:r>
      <w:r w:rsidR="008D0AF6" w:rsidRPr="008D0AF6">
        <w:rPr>
          <w:rFonts w:ascii="Century Gothic" w:hAnsi="Century Gothic"/>
          <w:b/>
          <w:bCs/>
          <w:color w:val="000000"/>
        </w:rPr>
        <w:t xml:space="preserve">and </w:t>
      </w:r>
      <w:r w:rsidRPr="008D0AF6">
        <w:rPr>
          <w:rFonts w:ascii="Century Gothic" w:hAnsi="Century Gothic"/>
          <w:b/>
          <w:bCs/>
          <w:color w:val="000000"/>
        </w:rPr>
        <w:t>regulations):</w:t>
      </w:r>
      <w:r w:rsidR="008D0AF6" w:rsidRPr="008D0AF6">
        <w:rPr>
          <w:rFonts w:ascii="Century Gothic" w:hAnsi="Century Gothic"/>
          <w:color w:val="000000"/>
        </w:rPr>
        <w:t xml:space="preserve"> </w:t>
      </w:r>
      <w:r w:rsidRPr="008D0AF6">
        <w:rPr>
          <w:rFonts w:ascii="Century Gothic" w:hAnsi="Century Gothic"/>
          <w:color w:val="000000"/>
        </w:rPr>
        <w:t>Effective competition also depends on access to essential network inputs such as</w:t>
      </w:r>
      <w:r w:rsidR="008D0AF6" w:rsidRPr="008D0AF6">
        <w:rPr>
          <w:rFonts w:ascii="Century Gothic" w:hAnsi="Century Gothic"/>
          <w:color w:val="000000"/>
        </w:rPr>
        <w:t xml:space="preserve"> </w:t>
      </w:r>
      <w:r w:rsidRPr="008D0AF6">
        <w:rPr>
          <w:rFonts w:ascii="Century Gothic" w:hAnsi="Century Gothic"/>
          <w:color w:val="000000"/>
        </w:rPr>
        <w:t>masts, ducts, poles, backhaul and related facilities. ICASA should therefore prioritise</w:t>
      </w:r>
      <w:r w:rsidR="008D0AF6" w:rsidRPr="008D0AF6">
        <w:rPr>
          <w:rFonts w:ascii="Century Gothic" w:hAnsi="Century Gothic"/>
          <w:color w:val="000000"/>
        </w:rPr>
        <w:t xml:space="preserve"> </w:t>
      </w:r>
      <w:r w:rsidRPr="008D0AF6">
        <w:rPr>
          <w:rFonts w:ascii="Century Gothic" w:hAnsi="Century Gothic"/>
          <w:color w:val="000000"/>
        </w:rPr>
        <w:t>consistent and time-bound enforcement</w:t>
      </w:r>
      <w:r w:rsidR="008D0AF6" w:rsidRPr="008D0AF6">
        <w:rPr>
          <w:rFonts w:ascii="Century Gothic" w:hAnsi="Century Gothic"/>
          <w:color w:val="000000"/>
        </w:rPr>
        <w:t xml:space="preserve"> </w:t>
      </w:r>
      <w:r w:rsidRPr="008D0AF6">
        <w:rPr>
          <w:rFonts w:ascii="Century Gothic" w:hAnsi="Century Gothic"/>
          <w:color w:val="000000"/>
        </w:rPr>
        <w:t>of the</w:t>
      </w:r>
      <w:r w:rsidR="008D0AF6" w:rsidRPr="008D0AF6">
        <w:rPr>
          <w:rFonts w:ascii="Century Gothic" w:hAnsi="Century Gothic"/>
          <w:color w:val="000000"/>
        </w:rPr>
        <w:t xml:space="preserve"> </w:t>
      </w:r>
      <w:r w:rsidRPr="008D0AF6">
        <w:rPr>
          <w:rFonts w:ascii="Century Gothic" w:hAnsi="Century Gothic"/>
          <w:color w:val="000000"/>
        </w:rPr>
        <w:t>section 43 obligation to lease electronic communications facilities, supported by the</w:t>
      </w:r>
      <w:r w:rsidR="008D0AF6" w:rsidRPr="008D0AF6">
        <w:rPr>
          <w:rFonts w:ascii="Century Gothic" w:hAnsi="Century Gothic"/>
          <w:color w:val="000000"/>
        </w:rPr>
        <w:t xml:space="preserve"> </w:t>
      </w:r>
      <w:r w:rsidRPr="008D0AF6">
        <w:rPr>
          <w:rFonts w:ascii="Century Gothic" w:hAnsi="Century Gothic"/>
          <w:color w:val="000000"/>
        </w:rPr>
        <w:t>Electronic Communications Facilities Leasing Regulations, which are designed to facilitate leasing agreements through stipulated principles, procedures and timeframes (and provide a framework for ICASA involvement where parties deadlock).</w:t>
      </w:r>
      <w:r w:rsidR="008D0AF6" w:rsidRPr="008D0AF6">
        <w:rPr>
          <w:rFonts w:ascii="Century Gothic" w:hAnsi="Century Gothic"/>
          <w:i/>
          <w:iCs/>
          <w:color w:val="000000"/>
        </w:rPr>
        <w:t xml:space="preserve"> </w:t>
      </w:r>
    </w:p>
    <w:p w14:paraId="769BE448" w14:textId="6F5D244C" w:rsidR="00CF56BC" w:rsidRPr="001F4A41" w:rsidRDefault="00F91C90" w:rsidP="00CF56BC">
      <w:pPr>
        <w:pStyle w:val="Heading3"/>
        <w:rPr>
          <w:rFonts w:ascii="Century Gothic" w:hAnsi="Century Gothic"/>
          <w:color w:val="000000"/>
        </w:rPr>
      </w:pPr>
      <w:r>
        <w:rPr>
          <w:rFonts w:ascii="Century Gothic" w:hAnsi="Century Gothic"/>
          <w:color w:val="000000"/>
        </w:rPr>
        <w:t xml:space="preserve">6. </w:t>
      </w:r>
      <w:r w:rsidR="00CF56BC" w:rsidRPr="001F4A41">
        <w:rPr>
          <w:rFonts w:ascii="Century Gothic" w:hAnsi="Century Gothic"/>
          <w:color w:val="000000"/>
        </w:rPr>
        <w:t>Section 4: Universal Access and Service (UAS)</w:t>
      </w:r>
    </w:p>
    <w:p w14:paraId="2B5B8E36" w14:textId="77777777" w:rsidR="00F91C90" w:rsidRDefault="00F91C90" w:rsidP="00F91C90">
      <w:pPr>
        <w:pStyle w:val="NormalWeb"/>
        <w:ind w:left="426" w:hanging="426"/>
        <w:rPr>
          <w:rStyle w:val="apple-converted-space"/>
          <w:rFonts w:ascii="Century Gothic" w:hAnsi="Century Gothic"/>
          <w:color w:val="000000"/>
        </w:rPr>
      </w:pPr>
      <w:r w:rsidRPr="00F91C90">
        <w:rPr>
          <w:rFonts w:ascii="Century Gothic" w:hAnsi="Century Gothic"/>
          <w:color w:val="000000"/>
        </w:rPr>
        <w:t>6.1</w:t>
      </w:r>
      <w:r>
        <w:rPr>
          <w:rFonts w:ascii="Century Gothic" w:hAnsi="Century Gothic"/>
          <w:b/>
          <w:bCs/>
          <w:color w:val="000000"/>
        </w:rPr>
        <w:tab/>
      </w:r>
      <w:r w:rsidR="00CF56BC" w:rsidRPr="001F4A41">
        <w:rPr>
          <w:rFonts w:ascii="Century Gothic" w:hAnsi="Century Gothic"/>
          <w:b/>
          <w:bCs/>
          <w:color w:val="000000"/>
        </w:rPr>
        <w:t>Question 4.1: Contribution to Universal Access</w:t>
      </w:r>
    </w:p>
    <w:p w14:paraId="5591A866" w14:textId="2EE892FC" w:rsidR="00CF56BC" w:rsidRPr="001F4A41" w:rsidRDefault="00CF56BC" w:rsidP="00F91C90">
      <w:pPr>
        <w:pStyle w:val="NormalWeb"/>
        <w:ind w:left="426"/>
        <w:rPr>
          <w:rFonts w:ascii="Century Gothic" w:hAnsi="Century Gothic"/>
          <w:color w:val="000000"/>
        </w:rPr>
      </w:pPr>
      <w:r w:rsidRPr="00F91C90">
        <w:rPr>
          <w:rFonts w:ascii="Century Gothic" w:hAnsi="Century Gothic"/>
          <w:color w:val="000000"/>
          <w:highlight w:val="yellow"/>
        </w:rPr>
        <w:t>New entrants often target "gap" markets that are vertically integrated incumbents ignore. By lowering the barrier to entry, the Authority encourages hyper-local solutions (e.g., a WISP serving a single municipality) which directly contributes to universal access in that specific locale.</w:t>
      </w:r>
    </w:p>
    <w:p w14:paraId="611458DA" w14:textId="77777777" w:rsidR="00F91C90" w:rsidRDefault="00F91C90" w:rsidP="00F91C90">
      <w:pPr>
        <w:pStyle w:val="NormalWeb"/>
        <w:ind w:left="360" w:hanging="360"/>
        <w:rPr>
          <w:rStyle w:val="apple-converted-space"/>
          <w:rFonts w:ascii="Century Gothic" w:hAnsi="Century Gothic"/>
          <w:color w:val="000000"/>
        </w:rPr>
      </w:pPr>
      <w:r w:rsidRPr="00F91C90">
        <w:rPr>
          <w:rFonts w:ascii="Century Gothic" w:hAnsi="Century Gothic"/>
          <w:color w:val="000000"/>
        </w:rPr>
        <w:t>6.2</w:t>
      </w:r>
      <w:r w:rsidRPr="00F91C90">
        <w:rPr>
          <w:rFonts w:ascii="Century Gothic" w:hAnsi="Century Gothic"/>
          <w:color w:val="000000"/>
        </w:rPr>
        <w:tab/>
      </w:r>
      <w:r w:rsidR="00CF56BC" w:rsidRPr="001F4A41">
        <w:rPr>
          <w:rFonts w:ascii="Century Gothic" w:hAnsi="Century Gothic"/>
          <w:b/>
          <w:bCs/>
          <w:color w:val="000000"/>
        </w:rPr>
        <w:t>Question 4.2: Incorporating UAS Obligations</w:t>
      </w:r>
    </w:p>
    <w:p w14:paraId="4FF62FD7" w14:textId="2490C64E" w:rsidR="00CF56BC" w:rsidRPr="001F4A41" w:rsidRDefault="00CF56BC" w:rsidP="00F91C90">
      <w:pPr>
        <w:pStyle w:val="NormalWeb"/>
        <w:ind w:left="360"/>
        <w:rPr>
          <w:rFonts w:ascii="Century Gothic" w:hAnsi="Century Gothic"/>
          <w:color w:val="000000"/>
        </w:rPr>
      </w:pPr>
      <w:r w:rsidRPr="001F4A41">
        <w:rPr>
          <w:rFonts w:ascii="Century Gothic" w:hAnsi="Century Gothic"/>
          <w:color w:val="000000"/>
        </w:rPr>
        <w:t>The Authority should avoid imposing heavy physical rollout obligations on new, small I-ECNS licensees, as this raises the cost of failure.</w:t>
      </w:r>
    </w:p>
    <w:p w14:paraId="32961C54" w14:textId="1BF973F3" w:rsidR="00CF56BC" w:rsidRPr="001F4A41" w:rsidRDefault="00CF56BC" w:rsidP="00CF56BC">
      <w:pPr>
        <w:pStyle w:val="NormalWeb"/>
        <w:numPr>
          <w:ilvl w:val="0"/>
          <w:numId w:val="19"/>
        </w:numPr>
        <w:rPr>
          <w:rFonts w:ascii="Century Gothic" w:hAnsi="Century Gothic"/>
          <w:color w:val="000000"/>
        </w:rPr>
      </w:pPr>
      <w:r w:rsidRPr="001F4A41">
        <w:rPr>
          <w:rFonts w:ascii="Century Gothic" w:hAnsi="Century Gothic"/>
          <w:b/>
          <w:bCs/>
          <w:color w:val="000000"/>
        </w:rPr>
        <w:t>Proposal:</w:t>
      </w:r>
      <w:r w:rsidR="00F91C90">
        <w:rPr>
          <w:rStyle w:val="apple-converted-space"/>
          <w:rFonts w:ascii="Century Gothic" w:hAnsi="Century Gothic"/>
          <w:color w:val="000000"/>
        </w:rPr>
        <w:t xml:space="preserve"> </w:t>
      </w:r>
      <w:r w:rsidRPr="001F4A41">
        <w:rPr>
          <w:rFonts w:ascii="Century Gothic" w:hAnsi="Century Gothic"/>
          <w:color w:val="000000"/>
        </w:rPr>
        <w:t>Adopt a</w:t>
      </w:r>
      <w:r w:rsidR="00F91C90">
        <w:rPr>
          <w:rStyle w:val="apple-converted-space"/>
          <w:rFonts w:ascii="Century Gothic" w:hAnsi="Century Gothic"/>
          <w:color w:val="000000"/>
        </w:rPr>
        <w:t xml:space="preserve"> </w:t>
      </w:r>
      <w:r w:rsidRPr="001F4A41">
        <w:rPr>
          <w:rFonts w:ascii="Century Gothic" w:hAnsi="Century Gothic"/>
          <w:b/>
          <w:bCs/>
          <w:color w:val="000000"/>
        </w:rPr>
        <w:t>"Pay or Play"</w:t>
      </w:r>
      <w:r w:rsidR="00F91C90">
        <w:rPr>
          <w:rStyle w:val="apple-converted-space"/>
          <w:rFonts w:ascii="Century Gothic" w:hAnsi="Century Gothic"/>
          <w:color w:val="000000"/>
        </w:rPr>
        <w:t xml:space="preserve"> </w:t>
      </w:r>
      <w:r w:rsidRPr="001F4A41">
        <w:rPr>
          <w:rFonts w:ascii="Century Gothic" w:hAnsi="Century Gothic"/>
          <w:color w:val="000000"/>
        </w:rPr>
        <w:t>model. New entrants should either roll out infrastructure in under-serviced areas OR contribute a percentage of turnover to the Universal Service and Access Fund (USAF).</w:t>
      </w:r>
    </w:p>
    <w:p w14:paraId="27EAA775" w14:textId="34A62C34" w:rsidR="00CF56BC" w:rsidRPr="00F91C90" w:rsidRDefault="00CF56BC" w:rsidP="00CF56BC">
      <w:pPr>
        <w:pStyle w:val="NormalWeb"/>
        <w:numPr>
          <w:ilvl w:val="0"/>
          <w:numId w:val="19"/>
        </w:numPr>
        <w:rPr>
          <w:rFonts w:ascii="Century Gothic" w:hAnsi="Century Gothic"/>
          <w:color w:val="000000"/>
        </w:rPr>
      </w:pPr>
      <w:r w:rsidRPr="001F4A41">
        <w:rPr>
          <w:rFonts w:ascii="Century Gothic" w:hAnsi="Century Gothic"/>
          <w:b/>
          <w:bCs/>
          <w:color w:val="000000"/>
        </w:rPr>
        <w:t>Asymmetrical Obligations:</w:t>
      </w:r>
      <w:r w:rsidR="00F91C90">
        <w:rPr>
          <w:rStyle w:val="apple-converted-space"/>
          <w:rFonts w:ascii="Century Gothic" w:hAnsi="Century Gothic"/>
          <w:color w:val="000000"/>
        </w:rPr>
        <w:t xml:space="preserve"> </w:t>
      </w:r>
      <w:r w:rsidRPr="001F4A41">
        <w:rPr>
          <w:rFonts w:ascii="Century Gothic" w:hAnsi="Century Gothic"/>
          <w:color w:val="000000"/>
        </w:rPr>
        <w:t>Universal service obligations should be proportional to market share.</w:t>
      </w:r>
    </w:p>
    <w:p w14:paraId="7026FD02" w14:textId="4D9F0C5F" w:rsidR="00CF56BC" w:rsidRPr="001F4A41" w:rsidRDefault="00F91C90" w:rsidP="00CF56BC">
      <w:pPr>
        <w:pStyle w:val="Heading3"/>
        <w:rPr>
          <w:rFonts w:ascii="Century Gothic" w:hAnsi="Century Gothic"/>
          <w:color w:val="000000"/>
        </w:rPr>
      </w:pPr>
      <w:r>
        <w:rPr>
          <w:rFonts w:ascii="Century Gothic" w:hAnsi="Century Gothic"/>
          <w:color w:val="000000"/>
        </w:rPr>
        <w:t>7.</w:t>
      </w:r>
      <w:r>
        <w:rPr>
          <w:rFonts w:ascii="Century Gothic" w:hAnsi="Century Gothic"/>
          <w:color w:val="000000"/>
        </w:rPr>
        <w:tab/>
      </w:r>
      <w:r w:rsidR="00CF56BC" w:rsidRPr="001F4A41">
        <w:rPr>
          <w:rFonts w:ascii="Century Gothic" w:hAnsi="Century Gothic"/>
          <w:color w:val="000000"/>
        </w:rPr>
        <w:t>Section 5: Cost vs. Benefits</w:t>
      </w:r>
    </w:p>
    <w:p w14:paraId="1D3709FF" w14:textId="77777777" w:rsidR="00F91C90" w:rsidRDefault="00F91C90" w:rsidP="00F91C90">
      <w:pPr>
        <w:pStyle w:val="NormalWeb"/>
        <w:ind w:left="426" w:hanging="426"/>
        <w:rPr>
          <w:rStyle w:val="apple-converted-space"/>
          <w:rFonts w:ascii="Century Gothic" w:hAnsi="Century Gothic"/>
          <w:color w:val="000000"/>
        </w:rPr>
      </w:pPr>
      <w:r w:rsidRPr="00F91C90">
        <w:rPr>
          <w:rFonts w:ascii="Century Gothic" w:hAnsi="Century Gothic"/>
          <w:color w:val="000000"/>
        </w:rPr>
        <w:t>7.1</w:t>
      </w:r>
      <w:r>
        <w:rPr>
          <w:rFonts w:ascii="Century Gothic" w:hAnsi="Century Gothic"/>
          <w:b/>
          <w:bCs/>
          <w:color w:val="000000"/>
        </w:rPr>
        <w:tab/>
      </w:r>
      <w:r w:rsidR="00CF56BC" w:rsidRPr="001F4A41">
        <w:rPr>
          <w:rFonts w:ascii="Century Gothic" w:hAnsi="Century Gothic"/>
          <w:b/>
          <w:bCs/>
          <w:color w:val="000000"/>
        </w:rPr>
        <w:t>Question 5.1: Potential negative consequences (Environment)</w:t>
      </w:r>
    </w:p>
    <w:p w14:paraId="22C516D6" w14:textId="0FCBEC5B" w:rsidR="00CF56BC" w:rsidRPr="001F4A41" w:rsidRDefault="00CF56BC" w:rsidP="00F91C90">
      <w:pPr>
        <w:pStyle w:val="NormalWeb"/>
        <w:ind w:left="426"/>
        <w:rPr>
          <w:rFonts w:ascii="Century Gothic" w:hAnsi="Century Gothic"/>
          <w:color w:val="000000"/>
        </w:rPr>
      </w:pPr>
      <w:r w:rsidRPr="001F4A41">
        <w:rPr>
          <w:rFonts w:ascii="Century Gothic" w:hAnsi="Century Gothic"/>
          <w:color w:val="000000"/>
        </w:rPr>
        <w:t>The primary negative externality is the duplication of civil works (trenching). This can be mitigated by enforcing "Dig Once" policies and Section 43 facilities leasing, rather than restricting the number of licences.</w:t>
      </w:r>
    </w:p>
    <w:p w14:paraId="7E09D2CD" w14:textId="43329604" w:rsidR="00CF56BC" w:rsidRPr="001F4A41" w:rsidRDefault="00F91C90" w:rsidP="00CF56BC">
      <w:pPr>
        <w:pStyle w:val="NormalWeb"/>
        <w:rPr>
          <w:rFonts w:ascii="Century Gothic" w:hAnsi="Century Gothic"/>
          <w:color w:val="000000"/>
        </w:rPr>
      </w:pPr>
      <w:r w:rsidRPr="00F91C90">
        <w:rPr>
          <w:rFonts w:ascii="Century Gothic" w:hAnsi="Century Gothic"/>
          <w:color w:val="000000"/>
        </w:rPr>
        <w:t>7.2</w:t>
      </w:r>
      <w:r>
        <w:rPr>
          <w:rFonts w:ascii="Century Gothic" w:hAnsi="Century Gothic"/>
          <w:b/>
          <w:bCs/>
          <w:color w:val="000000"/>
        </w:rPr>
        <w:t xml:space="preserve"> </w:t>
      </w:r>
      <w:r w:rsidR="00CF56BC" w:rsidRPr="001F4A41">
        <w:rPr>
          <w:rFonts w:ascii="Century Gothic" w:hAnsi="Century Gothic"/>
          <w:b/>
          <w:bCs/>
          <w:color w:val="000000"/>
        </w:rPr>
        <w:t>Question 5.2: New or additional benefits</w:t>
      </w:r>
    </w:p>
    <w:p w14:paraId="59E8F21D" w14:textId="74968F80" w:rsidR="00CF56BC" w:rsidRPr="001F4A41" w:rsidRDefault="00CF56BC" w:rsidP="00CF56BC">
      <w:pPr>
        <w:pStyle w:val="NormalWeb"/>
        <w:numPr>
          <w:ilvl w:val="0"/>
          <w:numId w:val="20"/>
        </w:numPr>
        <w:rPr>
          <w:rFonts w:ascii="Century Gothic" w:hAnsi="Century Gothic"/>
          <w:color w:val="000000"/>
        </w:rPr>
      </w:pPr>
      <w:r w:rsidRPr="001F4A41">
        <w:rPr>
          <w:rFonts w:ascii="Century Gothic" w:hAnsi="Century Gothic"/>
          <w:b/>
          <w:bCs/>
          <w:color w:val="000000"/>
        </w:rPr>
        <w:t>Innovation:</w:t>
      </w:r>
      <w:r w:rsidR="00F91C90">
        <w:rPr>
          <w:rStyle w:val="apple-converted-space"/>
          <w:rFonts w:ascii="Century Gothic" w:hAnsi="Century Gothic"/>
          <w:color w:val="000000"/>
        </w:rPr>
        <w:t xml:space="preserve"> </w:t>
      </w:r>
      <w:r w:rsidRPr="001F4A41">
        <w:rPr>
          <w:rFonts w:ascii="Century Gothic" w:hAnsi="Century Gothic"/>
          <w:color w:val="000000"/>
        </w:rPr>
        <w:t xml:space="preserve">New entrants are often faster to adopt new technologies (e.g., </w:t>
      </w:r>
      <w:proofErr w:type="spellStart"/>
      <w:r w:rsidRPr="001F4A41">
        <w:rPr>
          <w:rFonts w:ascii="Century Gothic" w:hAnsi="Century Gothic"/>
          <w:color w:val="000000"/>
        </w:rPr>
        <w:t>OpenRAN</w:t>
      </w:r>
      <w:proofErr w:type="spellEnd"/>
      <w:r w:rsidRPr="001F4A41">
        <w:rPr>
          <w:rFonts w:ascii="Century Gothic" w:hAnsi="Century Gothic"/>
          <w:color w:val="000000"/>
        </w:rPr>
        <w:t>, AI-driven network management).</w:t>
      </w:r>
    </w:p>
    <w:p w14:paraId="220AF5DF" w14:textId="4B10DD1D" w:rsidR="00CF56BC" w:rsidRPr="00F91C90" w:rsidRDefault="00CF56BC" w:rsidP="00CF56BC">
      <w:pPr>
        <w:pStyle w:val="NormalWeb"/>
        <w:numPr>
          <w:ilvl w:val="0"/>
          <w:numId w:val="20"/>
        </w:numPr>
        <w:rPr>
          <w:rFonts w:ascii="Century Gothic" w:hAnsi="Century Gothic"/>
          <w:color w:val="000000"/>
        </w:rPr>
      </w:pPr>
      <w:r w:rsidRPr="001F4A41">
        <w:rPr>
          <w:rFonts w:ascii="Century Gothic" w:hAnsi="Century Gothic"/>
          <w:b/>
          <w:bCs/>
          <w:color w:val="000000"/>
        </w:rPr>
        <w:t>Job Creation:</w:t>
      </w:r>
      <w:r w:rsidR="00F91C90">
        <w:rPr>
          <w:rStyle w:val="apple-converted-space"/>
          <w:rFonts w:ascii="Century Gothic" w:hAnsi="Century Gothic"/>
          <w:color w:val="000000"/>
        </w:rPr>
        <w:t xml:space="preserve"> </w:t>
      </w:r>
      <w:r w:rsidRPr="001F4A41">
        <w:rPr>
          <w:rFonts w:ascii="Century Gothic" w:hAnsi="Century Gothic"/>
          <w:color w:val="000000"/>
        </w:rPr>
        <w:t>Small and Medium Enterprises (SMEs) in the telco sector are significant job creators for technical skills.</w:t>
      </w:r>
    </w:p>
    <w:p w14:paraId="1987342C" w14:textId="71E0D843" w:rsidR="00CF56BC" w:rsidRPr="001F4A41" w:rsidRDefault="00F91C90" w:rsidP="00CF56BC">
      <w:pPr>
        <w:pStyle w:val="Heading3"/>
        <w:rPr>
          <w:rFonts w:ascii="Century Gothic" w:hAnsi="Century Gothic"/>
          <w:color w:val="000000"/>
        </w:rPr>
      </w:pPr>
      <w:r>
        <w:rPr>
          <w:rFonts w:ascii="Century Gothic" w:hAnsi="Century Gothic"/>
          <w:color w:val="000000"/>
        </w:rPr>
        <w:lastRenderedPageBreak/>
        <w:t xml:space="preserve">8. </w:t>
      </w:r>
      <w:r w:rsidR="00CF56BC" w:rsidRPr="001F4A41">
        <w:rPr>
          <w:rFonts w:ascii="Century Gothic" w:hAnsi="Century Gothic"/>
          <w:color w:val="000000"/>
        </w:rPr>
        <w:t>Section 6: Other Comments - Proposal for Reconsideration</w:t>
      </w:r>
    </w:p>
    <w:p w14:paraId="7BDACBCC" w14:textId="77777777" w:rsidR="00F91C90" w:rsidRDefault="00F91C90" w:rsidP="00F91C90">
      <w:pPr>
        <w:pStyle w:val="NormalWeb"/>
        <w:ind w:left="360" w:hanging="360"/>
        <w:rPr>
          <w:rStyle w:val="apple-converted-space"/>
          <w:rFonts w:ascii="Century Gothic" w:hAnsi="Century Gothic"/>
          <w:color w:val="000000"/>
        </w:rPr>
      </w:pPr>
      <w:r w:rsidRPr="008A591A">
        <w:rPr>
          <w:rFonts w:ascii="Century Gothic" w:hAnsi="Century Gothic"/>
          <w:color w:val="000000"/>
        </w:rPr>
        <w:t>8.1</w:t>
      </w:r>
      <w:r>
        <w:rPr>
          <w:rFonts w:ascii="Century Gothic" w:hAnsi="Century Gothic"/>
          <w:b/>
          <w:bCs/>
          <w:color w:val="000000"/>
        </w:rPr>
        <w:tab/>
      </w:r>
      <w:r w:rsidR="00CF56BC" w:rsidRPr="001F4A41">
        <w:rPr>
          <w:rFonts w:ascii="Century Gothic" w:hAnsi="Century Gothic"/>
          <w:b/>
          <w:bCs/>
          <w:color w:val="000000"/>
        </w:rPr>
        <w:t>Question 6.1: Additional Comments</w:t>
      </w:r>
    </w:p>
    <w:p w14:paraId="72E92C63" w14:textId="6B832E39" w:rsidR="00CF56BC" w:rsidRPr="001F4A41" w:rsidRDefault="00CF56BC" w:rsidP="00F91C90">
      <w:pPr>
        <w:pStyle w:val="NormalWeb"/>
        <w:ind w:left="360"/>
        <w:rPr>
          <w:rFonts w:ascii="Century Gothic" w:hAnsi="Century Gothic"/>
          <w:color w:val="000000"/>
        </w:rPr>
      </w:pPr>
      <w:r w:rsidRPr="001F4A41">
        <w:rPr>
          <w:rFonts w:ascii="Century Gothic" w:hAnsi="Century Gothic"/>
          <w:color w:val="000000"/>
        </w:rPr>
        <w:t xml:space="preserve">We respectfully submit that the Authority </w:t>
      </w:r>
      <w:r w:rsidR="008D0AF6">
        <w:rPr>
          <w:rFonts w:ascii="Century Gothic" w:hAnsi="Century Gothic"/>
          <w:color w:val="000000"/>
        </w:rPr>
        <w:t>supports a policy shift to</w:t>
      </w:r>
      <w:r w:rsidRPr="00F91C90">
        <w:rPr>
          <w:rFonts w:ascii="Century Gothic" w:hAnsi="Century Gothic"/>
          <w:color w:val="000000"/>
        </w:rPr>
        <w:t xml:space="preserve"> migrat</w:t>
      </w:r>
      <w:r w:rsidR="008D0AF6">
        <w:rPr>
          <w:rFonts w:ascii="Century Gothic" w:hAnsi="Century Gothic"/>
          <w:color w:val="000000"/>
        </w:rPr>
        <w:t>e</w:t>
      </w:r>
      <w:r w:rsidRPr="00F91C90">
        <w:rPr>
          <w:rFonts w:ascii="Century Gothic" w:hAnsi="Century Gothic"/>
          <w:color w:val="000000"/>
        </w:rPr>
        <w:t xml:space="preserve"> to a General Authorisation Regime.</w:t>
      </w:r>
    </w:p>
    <w:p w14:paraId="7658B8D7" w14:textId="09A286F7" w:rsidR="00CF56BC" w:rsidRPr="001F4A41" w:rsidRDefault="00CF56BC" w:rsidP="00CF56BC">
      <w:pPr>
        <w:pStyle w:val="NormalWeb"/>
        <w:numPr>
          <w:ilvl w:val="0"/>
          <w:numId w:val="21"/>
        </w:numPr>
        <w:rPr>
          <w:rFonts w:ascii="Century Gothic" w:hAnsi="Century Gothic"/>
          <w:color w:val="000000"/>
        </w:rPr>
      </w:pPr>
      <w:r w:rsidRPr="001F4A41">
        <w:rPr>
          <w:rFonts w:ascii="Century Gothic" w:hAnsi="Century Gothic"/>
          <w:b/>
          <w:bCs/>
          <w:color w:val="000000"/>
        </w:rPr>
        <w:t>The Problem:</w:t>
      </w:r>
      <w:r w:rsidR="00CD2BA6">
        <w:rPr>
          <w:rFonts w:ascii="Century Gothic" w:hAnsi="Century Gothic"/>
          <w:b/>
          <w:bCs/>
          <w:color w:val="000000"/>
        </w:rPr>
        <w:t xml:space="preserve"> </w:t>
      </w:r>
      <w:r w:rsidRPr="001F4A41">
        <w:rPr>
          <w:rFonts w:ascii="Century Gothic" w:hAnsi="Century Gothic"/>
          <w:color w:val="000000"/>
        </w:rPr>
        <w:t>The current distinction between I-ECNS (National) and C-ECNS (Municipal) is becoming arbitrary due to IP convergence. The administrative burden of vetting individual business plans for every national ISP is inefficient.</w:t>
      </w:r>
    </w:p>
    <w:p w14:paraId="44B7F914" w14:textId="4D02D003" w:rsidR="00CF56BC" w:rsidRPr="001F4A41" w:rsidRDefault="00CF56BC" w:rsidP="00CF56BC">
      <w:pPr>
        <w:pStyle w:val="NormalWeb"/>
        <w:numPr>
          <w:ilvl w:val="0"/>
          <w:numId w:val="21"/>
        </w:numPr>
        <w:rPr>
          <w:rFonts w:ascii="Century Gothic" w:hAnsi="Century Gothic"/>
          <w:color w:val="000000"/>
        </w:rPr>
      </w:pPr>
      <w:r w:rsidRPr="001F4A41">
        <w:rPr>
          <w:rFonts w:ascii="Century Gothic" w:hAnsi="Century Gothic"/>
          <w:b/>
          <w:bCs/>
          <w:color w:val="000000"/>
        </w:rPr>
        <w:t>The Solution (International Best Practice):</w:t>
      </w:r>
      <w:r w:rsidR="00CD2BA6">
        <w:rPr>
          <w:rStyle w:val="apple-converted-space"/>
          <w:rFonts w:ascii="Century Gothic" w:hAnsi="Century Gothic"/>
          <w:color w:val="000000"/>
        </w:rPr>
        <w:t xml:space="preserve"> </w:t>
      </w:r>
      <w:r w:rsidRPr="001F4A41">
        <w:rPr>
          <w:rFonts w:ascii="Century Gothic" w:hAnsi="Century Gothic"/>
          <w:color w:val="000000"/>
        </w:rPr>
        <w:t>As seen in the</w:t>
      </w:r>
      <w:r w:rsidR="00CD2BA6">
        <w:rPr>
          <w:rStyle w:val="apple-converted-space"/>
          <w:rFonts w:ascii="Century Gothic" w:hAnsi="Century Gothic"/>
          <w:color w:val="000000"/>
        </w:rPr>
        <w:t xml:space="preserve"> </w:t>
      </w:r>
      <w:r w:rsidRPr="00CD2BA6">
        <w:rPr>
          <w:rFonts w:ascii="Century Gothic" w:hAnsi="Century Gothic"/>
          <w:color w:val="000000"/>
        </w:rPr>
        <w:t xml:space="preserve">European Electronic Communications Code (EECC), </w:t>
      </w:r>
      <w:r w:rsidRPr="001F4A41">
        <w:rPr>
          <w:rFonts w:ascii="Century Gothic" w:hAnsi="Century Gothic"/>
          <w:color w:val="000000"/>
        </w:rPr>
        <w:t>a General Authorisation regime allows any entity to provide services upon notification.</w:t>
      </w:r>
    </w:p>
    <w:p w14:paraId="60DB6089" w14:textId="313CC6BD" w:rsidR="00CF56BC" w:rsidRPr="001F4A41" w:rsidRDefault="00CF56BC" w:rsidP="00CF56BC">
      <w:pPr>
        <w:pStyle w:val="NormalWeb"/>
        <w:numPr>
          <w:ilvl w:val="1"/>
          <w:numId w:val="21"/>
        </w:numPr>
        <w:rPr>
          <w:rFonts w:ascii="Century Gothic" w:hAnsi="Century Gothic"/>
          <w:color w:val="000000"/>
        </w:rPr>
      </w:pPr>
      <w:r w:rsidRPr="001F4A41">
        <w:rPr>
          <w:rFonts w:ascii="Century Gothic" w:hAnsi="Century Gothic"/>
          <w:b/>
          <w:bCs/>
          <w:color w:val="000000"/>
        </w:rPr>
        <w:t>Regulatory Control:</w:t>
      </w:r>
      <w:r w:rsidR="00CD2BA6">
        <w:rPr>
          <w:rStyle w:val="apple-converted-space"/>
          <w:rFonts w:ascii="Century Gothic" w:hAnsi="Century Gothic"/>
          <w:color w:val="000000"/>
        </w:rPr>
        <w:t xml:space="preserve"> </w:t>
      </w:r>
      <w:r w:rsidRPr="001F4A41">
        <w:rPr>
          <w:rFonts w:ascii="Century Gothic" w:hAnsi="Century Gothic"/>
          <w:color w:val="000000"/>
        </w:rPr>
        <w:t>Control is maintained not through the</w:t>
      </w:r>
      <w:r w:rsidR="00CD2BA6">
        <w:rPr>
          <w:rStyle w:val="apple-converted-space"/>
          <w:rFonts w:ascii="Century Gothic" w:hAnsi="Century Gothic"/>
          <w:color w:val="000000"/>
        </w:rPr>
        <w:t xml:space="preserve"> </w:t>
      </w:r>
      <w:r w:rsidRPr="001F4A41">
        <w:rPr>
          <w:rFonts w:ascii="Century Gothic" w:hAnsi="Century Gothic"/>
          <w:i/>
          <w:iCs/>
          <w:color w:val="000000"/>
        </w:rPr>
        <w:t>licence document</w:t>
      </w:r>
      <w:r w:rsidRPr="001F4A41">
        <w:rPr>
          <w:rFonts w:ascii="Century Gothic" w:hAnsi="Century Gothic"/>
          <w:color w:val="000000"/>
        </w:rPr>
        <w:t>, but through the</w:t>
      </w:r>
      <w:r w:rsidR="00CD2BA6">
        <w:rPr>
          <w:rStyle w:val="apple-converted-space"/>
          <w:rFonts w:ascii="Century Gothic" w:hAnsi="Century Gothic"/>
          <w:color w:val="000000"/>
        </w:rPr>
        <w:t xml:space="preserve"> </w:t>
      </w:r>
      <w:r w:rsidRPr="001F4A41">
        <w:rPr>
          <w:rFonts w:ascii="Century Gothic" w:hAnsi="Century Gothic"/>
          <w:i/>
          <w:iCs/>
          <w:color w:val="000000"/>
        </w:rPr>
        <w:t>Code of Conduct</w:t>
      </w:r>
      <w:r w:rsidRPr="001F4A41">
        <w:rPr>
          <w:rFonts w:ascii="Century Gothic" w:hAnsi="Century Gothic"/>
          <w:color w:val="000000"/>
        </w:rPr>
        <w:t>, standard regulations, and spectrum assignment.</w:t>
      </w:r>
    </w:p>
    <w:p w14:paraId="5B1353AA" w14:textId="537D34F6" w:rsidR="00CF56BC" w:rsidRPr="001F4A41" w:rsidRDefault="00CF56BC" w:rsidP="00CF56BC">
      <w:pPr>
        <w:pStyle w:val="NormalWeb"/>
        <w:numPr>
          <w:ilvl w:val="1"/>
          <w:numId w:val="21"/>
        </w:numPr>
        <w:rPr>
          <w:rFonts w:ascii="Century Gothic" w:hAnsi="Century Gothic"/>
          <w:color w:val="000000"/>
        </w:rPr>
      </w:pPr>
      <w:r w:rsidRPr="001F4A41">
        <w:rPr>
          <w:rFonts w:ascii="Century Gothic" w:hAnsi="Century Gothic"/>
          <w:b/>
          <w:bCs/>
          <w:color w:val="000000"/>
        </w:rPr>
        <w:t>Efficiency:</w:t>
      </w:r>
      <w:r w:rsidR="00CD2BA6">
        <w:rPr>
          <w:rStyle w:val="apple-converted-space"/>
          <w:rFonts w:ascii="Century Gothic" w:hAnsi="Century Gothic"/>
          <w:color w:val="000000"/>
        </w:rPr>
        <w:t xml:space="preserve"> </w:t>
      </w:r>
      <w:r w:rsidRPr="001F4A41">
        <w:rPr>
          <w:rFonts w:ascii="Century Gothic" w:hAnsi="Century Gothic"/>
          <w:color w:val="000000"/>
        </w:rPr>
        <w:t>This reduces the Authority’s administrative backlog and allows market forces to determine the number of players.</w:t>
      </w:r>
    </w:p>
    <w:p w14:paraId="78832FAB" w14:textId="4355A364" w:rsidR="00CD2BA6" w:rsidRDefault="00CD2BA6" w:rsidP="00CF56BC">
      <w:pPr>
        <w:pStyle w:val="NormalWeb"/>
        <w:rPr>
          <w:rStyle w:val="apple-converted-space"/>
          <w:rFonts w:ascii="Century Gothic" w:hAnsi="Century Gothic"/>
          <w:color w:val="000000"/>
        </w:rPr>
      </w:pPr>
      <w:r>
        <w:rPr>
          <w:rFonts w:ascii="Century Gothic" w:hAnsi="Century Gothic"/>
          <w:b/>
          <w:bCs/>
          <w:color w:val="000000"/>
        </w:rPr>
        <w:t xml:space="preserve">9. </w:t>
      </w:r>
      <w:r w:rsidR="00CF56BC" w:rsidRPr="001F4A41">
        <w:rPr>
          <w:rFonts w:ascii="Century Gothic" w:hAnsi="Century Gothic"/>
          <w:b/>
          <w:bCs/>
          <w:color w:val="000000"/>
        </w:rPr>
        <w:t>Conclusion:</w:t>
      </w:r>
      <w:r>
        <w:rPr>
          <w:rStyle w:val="apple-converted-space"/>
          <w:rFonts w:ascii="Century Gothic" w:hAnsi="Century Gothic"/>
          <w:color w:val="000000"/>
        </w:rPr>
        <w:t xml:space="preserve"> </w:t>
      </w:r>
    </w:p>
    <w:p w14:paraId="0F7D902E" w14:textId="4BDA60BE" w:rsidR="00CF56BC" w:rsidRPr="001F4A41" w:rsidRDefault="00CD2BA6" w:rsidP="00CD2BA6">
      <w:pPr>
        <w:pStyle w:val="NormalWeb"/>
        <w:ind w:left="426" w:hanging="426"/>
        <w:rPr>
          <w:rFonts w:ascii="Century Gothic" w:hAnsi="Century Gothic"/>
          <w:color w:val="000000"/>
        </w:rPr>
      </w:pPr>
      <w:r>
        <w:rPr>
          <w:rFonts w:ascii="Century Gothic" w:hAnsi="Century Gothic"/>
          <w:color w:val="000000"/>
        </w:rPr>
        <w:t xml:space="preserve">9.1 </w:t>
      </w:r>
      <w:r w:rsidR="00CF56BC" w:rsidRPr="001F4A41">
        <w:rPr>
          <w:rFonts w:ascii="Century Gothic" w:hAnsi="Century Gothic"/>
          <w:color w:val="000000"/>
        </w:rPr>
        <w:t xml:space="preserve">The Authority </w:t>
      </w:r>
      <w:r>
        <w:rPr>
          <w:rFonts w:ascii="Century Gothic" w:hAnsi="Century Gothic"/>
          <w:color w:val="000000"/>
        </w:rPr>
        <w:t>is encouraged to</w:t>
      </w:r>
      <w:r w:rsidR="00CF56BC" w:rsidRPr="001F4A41">
        <w:rPr>
          <w:rFonts w:ascii="Century Gothic" w:hAnsi="Century Gothic"/>
          <w:color w:val="000000"/>
        </w:rPr>
        <w:t xml:space="preserve"> immediately lift the moratorium on I-ECNS licences to lower entry barriers, while simultaneously initiating a legislative review to transition South Africa towards a General Authorisation framework.</w:t>
      </w:r>
    </w:p>
    <w:p w14:paraId="034895C7" w14:textId="38F2A223" w:rsidR="00CD2BA6" w:rsidRPr="008D0AF6" w:rsidRDefault="00CF56BC" w:rsidP="008D0AF6">
      <w:pPr>
        <w:pStyle w:val="NormalWeb"/>
        <w:rPr>
          <w:rFonts w:ascii="Century Gothic" w:hAnsi="Century Gothic"/>
          <w:color w:val="000000"/>
        </w:rPr>
      </w:pPr>
      <w:r w:rsidRPr="001F4A41">
        <w:rPr>
          <w:rFonts w:ascii="Century Gothic" w:hAnsi="Century Gothic"/>
          <w:color w:val="000000"/>
        </w:rPr>
        <w:t>Yours faithfully,</w:t>
      </w:r>
    </w:p>
    <w:p w14:paraId="05840C97" w14:textId="4225DFF5" w:rsidR="00DC22F3" w:rsidRPr="00332A2C" w:rsidRDefault="00CD2BA6" w:rsidP="00332A2C">
      <w:r>
        <w:t>Katharina Pillay</w:t>
      </w:r>
    </w:p>
    <w:sectPr w:rsidR="00DC22F3" w:rsidRPr="00332A2C" w:rsidSect="00CB1487">
      <w:headerReference w:type="default" r:id="rId8"/>
      <w:footerReference w:type="even" r:id="rId9"/>
      <w:footerReference w:type="default" r:id="rId10"/>
      <w:pgSz w:w="11906" w:h="16838"/>
      <w:pgMar w:top="1440" w:right="1440" w:bottom="1440" w:left="1440" w:header="2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80916" w14:textId="77777777" w:rsidR="00070BB9" w:rsidRDefault="00070BB9" w:rsidP="00E44032">
      <w:r>
        <w:separator/>
      </w:r>
    </w:p>
  </w:endnote>
  <w:endnote w:type="continuationSeparator" w:id="0">
    <w:p w14:paraId="06617C44" w14:textId="77777777" w:rsidR="00070BB9" w:rsidRDefault="00070BB9" w:rsidP="00E44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umnst777 BT">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0671675"/>
      <w:docPartObj>
        <w:docPartGallery w:val="Page Numbers (Bottom of Page)"/>
        <w:docPartUnique/>
      </w:docPartObj>
    </w:sdtPr>
    <w:sdtEndPr>
      <w:rPr>
        <w:rStyle w:val="PageNumber"/>
      </w:rPr>
    </w:sdtEndPr>
    <w:sdtContent>
      <w:p w14:paraId="1214C466" w14:textId="6241FA36" w:rsidR="00E42D67" w:rsidRDefault="00E42D67" w:rsidP="008207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7F0CA4" w14:textId="77777777" w:rsidR="00E42D67" w:rsidRDefault="00E42D67" w:rsidP="00E42D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0"/>
        <w:szCs w:val="20"/>
      </w:rPr>
      <w:id w:val="-1065949311"/>
      <w:docPartObj>
        <w:docPartGallery w:val="Page Numbers (Bottom of Page)"/>
        <w:docPartUnique/>
      </w:docPartObj>
    </w:sdtPr>
    <w:sdtEndPr>
      <w:rPr>
        <w:rStyle w:val="PageNumber"/>
      </w:rPr>
    </w:sdtEndPr>
    <w:sdtContent>
      <w:p w14:paraId="7D7B7E54" w14:textId="0A4842D6" w:rsidR="00E42D67" w:rsidRPr="00CB1487" w:rsidRDefault="00E42D67" w:rsidP="00820741">
        <w:pPr>
          <w:pStyle w:val="Footer"/>
          <w:framePr w:wrap="none" w:vAnchor="text" w:hAnchor="margin" w:xAlign="right" w:y="1"/>
          <w:rPr>
            <w:rStyle w:val="PageNumber"/>
            <w:sz w:val="20"/>
            <w:szCs w:val="20"/>
          </w:rPr>
        </w:pPr>
        <w:r w:rsidRPr="00CB1487">
          <w:rPr>
            <w:rStyle w:val="PageNumber"/>
            <w:sz w:val="20"/>
            <w:szCs w:val="20"/>
          </w:rPr>
          <w:fldChar w:fldCharType="begin"/>
        </w:r>
        <w:r w:rsidRPr="00CB1487">
          <w:rPr>
            <w:rStyle w:val="PageNumber"/>
            <w:sz w:val="20"/>
            <w:szCs w:val="20"/>
          </w:rPr>
          <w:instrText xml:space="preserve"> PAGE </w:instrText>
        </w:r>
        <w:r w:rsidRPr="00CB1487">
          <w:rPr>
            <w:rStyle w:val="PageNumber"/>
            <w:sz w:val="20"/>
            <w:szCs w:val="20"/>
          </w:rPr>
          <w:fldChar w:fldCharType="separate"/>
        </w:r>
        <w:r w:rsidRPr="00CB1487">
          <w:rPr>
            <w:rStyle w:val="PageNumber"/>
            <w:noProof/>
            <w:sz w:val="20"/>
            <w:szCs w:val="20"/>
          </w:rPr>
          <w:t>4</w:t>
        </w:r>
        <w:r w:rsidRPr="00CB1487">
          <w:rPr>
            <w:rStyle w:val="PageNumber"/>
            <w:sz w:val="20"/>
            <w:szCs w:val="20"/>
          </w:rPr>
          <w:fldChar w:fldCharType="end"/>
        </w:r>
      </w:p>
    </w:sdtContent>
  </w:sdt>
  <w:p w14:paraId="0F46290D" w14:textId="4A4031EB" w:rsidR="00E42D67" w:rsidRPr="00CB1487" w:rsidRDefault="00E42D67" w:rsidP="00E42D67">
    <w:pPr>
      <w:pStyle w:val="Footer"/>
      <w:ind w:right="360"/>
      <w:jc w:val="center"/>
      <w:rPr>
        <w:color w:val="808080" w:themeColor="background1" w:themeShade="80"/>
        <w:sz w:val="20"/>
        <w:szCs w:val="20"/>
      </w:rPr>
    </w:pPr>
    <w:r w:rsidRPr="00CB1487">
      <w:rPr>
        <w:color w:val="808080" w:themeColor="background1" w:themeShade="80"/>
        <w:sz w:val="20"/>
        <w:szCs w:val="20"/>
      </w:rPr>
      <w:t xml:space="preserve">SACF Submission – Inquiry into </w:t>
    </w:r>
    <w:r w:rsidR="00CD2BA6">
      <w:rPr>
        <w:color w:val="808080" w:themeColor="background1" w:themeShade="80"/>
        <w:sz w:val="20"/>
        <w:szCs w:val="20"/>
      </w:rPr>
      <w:t>Licensing</w:t>
    </w:r>
  </w:p>
  <w:p w14:paraId="61E1E7F3" w14:textId="18C31696" w:rsidR="00E44032" w:rsidRDefault="00E440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EF0F0" w14:textId="77777777" w:rsidR="00070BB9" w:rsidRDefault="00070BB9" w:rsidP="00E44032">
      <w:r>
        <w:separator/>
      </w:r>
    </w:p>
  </w:footnote>
  <w:footnote w:type="continuationSeparator" w:id="0">
    <w:p w14:paraId="2115C95B" w14:textId="77777777" w:rsidR="00070BB9" w:rsidRDefault="00070BB9" w:rsidP="00E44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EC024" w14:textId="2081CB53" w:rsidR="00CB1487" w:rsidRDefault="00CB1487">
    <w:pPr>
      <w:spacing w:line="264" w:lineRule="auto"/>
    </w:pPr>
    <w:r w:rsidRPr="00CB1487">
      <w:rPr>
        <w:noProof/>
        <w:color w:val="000000"/>
      </w:rPr>
      <w:drawing>
        <wp:inline distT="0" distB="0" distL="0" distR="0" wp14:anchorId="48AF0E4F" wp14:editId="7515D7D6">
          <wp:extent cx="665018" cy="637105"/>
          <wp:effectExtent l="0" t="0" r="0" b="0"/>
          <wp:docPr id="7" name="Picture 2" descr="sacf">
            <a:extLst xmlns:a="http://schemas.openxmlformats.org/drawingml/2006/main">
              <a:ext uri="{FF2B5EF4-FFF2-40B4-BE49-F238E27FC236}">
                <a16:creationId xmlns:a16="http://schemas.microsoft.com/office/drawing/2014/main" id="{7EFF4491-154C-6F65-2BC3-5561F4ACD8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sacf">
                    <a:extLst>
                      <a:ext uri="{FF2B5EF4-FFF2-40B4-BE49-F238E27FC236}">
                        <a16:creationId xmlns:a16="http://schemas.microsoft.com/office/drawing/2014/main" id="{7EFF4491-154C-6F65-2BC3-5561F4ACD87E}"/>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9700" r="9406" b="2"/>
                  <a:stretch/>
                </pic:blipFill>
                <pic:spPr bwMode="auto">
                  <a:xfrm>
                    <a:off x="0" y="0"/>
                    <a:ext cx="681628" cy="653018"/>
                  </a:xfrm>
                  <a:prstGeom prst="rect">
                    <a:avLst/>
                  </a:prstGeom>
                  <a:noFill/>
                </pic:spPr>
              </pic:pic>
            </a:graphicData>
          </a:graphic>
        </wp:inline>
      </w:drawing>
    </w:r>
  </w:p>
  <w:p w14:paraId="22E8DAC8" w14:textId="77777777" w:rsidR="00CB1487" w:rsidRDefault="00CB1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41033"/>
    <w:multiLevelType w:val="multilevel"/>
    <w:tmpl w:val="B740C026"/>
    <w:lvl w:ilvl="0">
      <w:start w:val="1"/>
      <w:numFmt w:val="decimal"/>
      <w:lvlText w:val="%1."/>
      <w:lvlJc w:val="left"/>
      <w:pPr>
        <w:ind w:left="360" w:hanging="360"/>
      </w:pPr>
    </w:lvl>
    <w:lvl w:ilvl="1">
      <w:start w:val="1"/>
      <w:numFmt w:val="decimal"/>
      <w:lvlText w:val="%1.%2."/>
      <w:lvlJc w:val="left"/>
      <w:pPr>
        <w:ind w:left="52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922017"/>
    <w:multiLevelType w:val="multilevel"/>
    <w:tmpl w:val="9B047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90AE1"/>
    <w:multiLevelType w:val="multilevel"/>
    <w:tmpl w:val="31AC1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1A711E"/>
    <w:multiLevelType w:val="multilevel"/>
    <w:tmpl w:val="A48E4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304FDB"/>
    <w:multiLevelType w:val="multilevel"/>
    <w:tmpl w:val="B59A6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9F5DB7"/>
    <w:multiLevelType w:val="hybridMultilevel"/>
    <w:tmpl w:val="684A5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4A05E6"/>
    <w:multiLevelType w:val="hybridMultilevel"/>
    <w:tmpl w:val="C9204A9E"/>
    <w:lvl w:ilvl="0" w:tplc="4322C37A">
      <w:start w:val="2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CE133EB"/>
    <w:multiLevelType w:val="hybridMultilevel"/>
    <w:tmpl w:val="C464C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170204"/>
    <w:multiLevelType w:val="multilevel"/>
    <w:tmpl w:val="1956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424C9D"/>
    <w:multiLevelType w:val="multilevel"/>
    <w:tmpl w:val="F24E3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5A024E"/>
    <w:multiLevelType w:val="multilevel"/>
    <w:tmpl w:val="2BCC9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2D2C6B"/>
    <w:multiLevelType w:val="multilevel"/>
    <w:tmpl w:val="774E5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A93922"/>
    <w:multiLevelType w:val="multilevel"/>
    <w:tmpl w:val="3F341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A37A6B"/>
    <w:multiLevelType w:val="multilevel"/>
    <w:tmpl w:val="77BE4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234F87"/>
    <w:multiLevelType w:val="hybridMultilevel"/>
    <w:tmpl w:val="733E97FA"/>
    <w:lvl w:ilvl="0" w:tplc="FC2CCDFC">
      <w:start w:val="1"/>
      <w:numFmt w:val="bullet"/>
      <w:lvlText w:val="•"/>
      <w:lvlJc w:val="left"/>
      <w:pPr>
        <w:tabs>
          <w:tab w:val="num" w:pos="720"/>
        </w:tabs>
        <w:ind w:left="720" w:hanging="360"/>
      </w:pPr>
      <w:rPr>
        <w:rFonts w:ascii="Times New Roman" w:hAnsi="Times New Roman" w:hint="default"/>
      </w:rPr>
    </w:lvl>
    <w:lvl w:ilvl="1" w:tplc="F4B20706" w:tentative="1">
      <w:start w:val="1"/>
      <w:numFmt w:val="bullet"/>
      <w:lvlText w:val="•"/>
      <w:lvlJc w:val="left"/>
      <w:pPr>
        <w:tabs>
          <w:tab w:val="num" w:pos="1440"/>
        </w:tabs>
        <w:ind w:left="1440" w:hanging="360"/>
      </w:pPr>
      <w:rPr>
        <w:rFonts w:ascii="Times New Roman" w:hAnsi="Times New Roman" w:hint="default"/>
      </w:rPr>
    </w:lvl>
    <w:lvl w:ilvl="2" w:tplc="ABDA3786" w:tentative="1">
      <w:start w:val="1"/>
      <w:numFmt w:val="bullet"/>
      <w:lvlText w:val="•"/>
      <w:lvlJc w:val="left"/>
      <w:pPr>
        <w:tabs>
          <w:tab w:val="num" w:pos="2160"/>
        </w:tabs>
        <w:ind w:left="2160" w:hanging="360"/>
      </w:pPr>
      <w:rPr>
        <w:rFonts w:ascii="Times New Roman" w:hAnsi="Times New Roman" w:hint="default"/>
      </w:rPr>
    </w:lvl>
    <w:lvl w:ilvl="3" w:tplc="78A84A56" w:tentative="1">
      <w:start w:val="1"/>
      <w:numFmt w:val="bullet"/>
      <w:lvlText w:val="•"/>
      <w:lvlJc w:val="left"/>
      <w:pPr>
        <w:tabs>
          <w:tab w:val="num" w:pos="2880"/>
        </w:tabs>
        <w:ind w:left="2880" w:hanging="360"/>
      </w:pPr>
      <w:rPr>
        <w:rFonts w:ascii="Times New Roman" w:hAnsi="Times New Roman" w:hint="default"/>
      </w:rPr>
    </w:lvl>
    <w:lvl w:ilvl="4" w:tplc="405C5622" w:tentative="1">
      <w:start w:val="1"/>
      <w:numFmt w:val="bullet"/>
      <w:lvlText w:val="•"/>
      <w:lvlJc w:val="left"/>
      <w:pPr>
        <w:tabs>
          <w:tab w:val="num" w:pos="3600"/>
        </w:tabs>
        <w:ind w:left="3600" w:hanging="360"/>
      </w:pPr>
      <w:rPr>
        <w:rFonts w:ascii="Times New Roman" w:hAnsi="Times New Roman" w:hint="default"/>
      </w:rPr>
    </w:lvl>
    <w:lvl w:ilvl="5" w:tplc="E58E3154" w:tentative="1">
      <w:start w:val="1"/>
      <w:numFmt w:val="bullet"/>
      <w:lvlText w:val="•"/>
      <w:lvlJc w:val="left"/>
      <w:pPr>
        <w:tabs>
          <w:tab w:val="num" w:pos="4320"/>
        </w:tabs>
        <w:ind w:left="4320" w:hanging="360"/>
      </w:pPr>
      <w:rPr>
        <w:rFonts w:ascii="Times New Roman" w:hAnsi="Times New Roman" w:hint="default"/>
      </w:rPr>
    </w:lvl>
    <w:lvl w:ilvl="6" w:tplc="E24AEDF2" w:tentative="1">
      <w:start w:val="1"/>
      <w:numFmt w:val="bullet"/>
      <w:lvlText w:val="•"/>
      <w:lvlJc w:val="left"/>
      <w:pPr>
        <w:tabs>
          <w:tab w:val="num" w:pos="5040"/>
        </w:tabs>
        <w:ind w:left="5040" w:hanging="360"/>
      </w:pPr>
      <w:rPr>
        <w:rFonts w:ascii="Times New Roman" w:hAnsi="Times New Roman" w:hint="default"/>
      </w:rPr>
    </w:lvl>
    <w:lvl w:ilvl="7" w:tplc="FBFC8CF2" w:tentative="1">
      <w:start w:val="1"/>
      <w:numFmt w:val="bullet"/>
      <w:lvlText w:val="•"/>
      <w:lvlJc w:val="left"/>
      <w:pPr>
        <w:tabs>
          <w:tab w:val="num" w:pos="5760"/>
        </w:tabs>
        <w:ind w:left="5760" w:hanging="360"/>
      </w:pPr>
      <w:rPr>
        <w:rFonts w:ascii="Times New Roman" w:hAnsi="Times New Roman" w:hint="default"/>
      </w:rPr>
    </w:lvl>
    <w:lvl w:ilvl="8" w:tplc="86A2998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FBE0FA1"/>
    <w:multiLevelType w:val="multilevel"/>
    <w:tmpl w:val="65C6C030"/>
    <w:lvl w:ilvl="0">
      <w:start w:val="4"/>
      <w:numFmt w:val="decimal"/>
      <w:lvlText w:val="%1"/>
      <w:lvlJc w:val="left"/>
      <w:pPr>
        <w:ind w:left="360" w:hanging="360"/>
      </w:pPr>
      <w:rPr>
        <w:rFonts w:hint="default"/>
        <w:b/>
      </w:rPr>
    </w:lvl>
    <w:lvl w:ilvl="1">
      <w:start w:val="6"/>
      <w:numFmt w:val="decimal"/>
      <w:lvlText w:val="%1.%2"/>
      <w:lvlJc w:val="left"/>
      <w:pPr>
        <w:ind w:left="720" w:hanging="720"/>
      </w:pPr>
      <w:rPr>
        <w:rFonts w:hint="default"/>
        <w:b/>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b w:val="0"/>
        <w:bCs w:val="0"/>
        <w:i w:val="0"/>
        <w:iCs w:val="0"/>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 w15:restartNumberingAfterBreak="0">
    <w:nsid w:val="70A952A1"/>
    <w:multiLevelType w:val="hybridMultilevel"/>
    <w:tmpl w:val="A7CCC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02172E"/>
    <w:multiLevelType w:val="multilevel"/>
    <w:tmpl w:val="0E124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284316"/>
    <w:multiLevelType w:val="hybridMultilevel"/>
    <w:tmpl w:val="F0E4E862"/>
    <w:lvl w:ilvl="0" w:tplc="B6FC5978">
      <w:start w:val="1"/>
      <w:numFmt w:val="bullet"/>
      <w:lvlText w:val="•"/>
      <w:lvlJc w:val="left"/>
      <w:pPr>
        <w:tabs>
          <w:tab w:val="num" w:pos="720"/>
        </w:tabs>
        <w:ind w:left="720" w:hanging="360"/>
      </w:pPr>
      <w:rPr>
        <w:rFonts w:ascii="Arial" w:hAnsi="Arial" w:hint="default"/>
      </w:rPr>
    </w:lvl>
    <w:lvl w:ilvl="1" w:tplc="E2300B2C" w:tentative="1">
      <w:start w:val="1"/>
      <w:numFmt w:val="bullet"/>
      <w:lvlText w:val="•"/>
      <w:lvlJc w:val="left"/>
      <w:pPr>
        <w:tabs>
          <w:tab w:val="num" w:pos="1440"/>
        </w:tabs>
        <w:ind w:left="1440" w:hanging="360"/>
      </w:pPr>
      <w:rPr>
        <w:rFonts w:ascii="Arial" w:hAnsi="Arial" w:hint="default"/>
      </w:rPr>
    </w:lvl>
    <w:lvl w:ilvl="2" w:tplc="076E8542" w:tentative="1">
      <w:start w:val="1"/>
      <w:numFmt w:val="bullet"/>
      <w:lvlText w:val="•"/>
      <w:lvlJc w:val="left"/>
      <w:pPr>
        <w:tabs>
          <w:tab w:val="num" w:pos="2160"/>
        </w:tabs>
        <w:ind w:left="2160" w:hanging="360"/>
      </w:pPr>
      <w:rPr>
        <w:rFonts w:ascii="Arial" w:hAnsi="Arial" w:hint="default"/>
      </w:rPr>
    </w:lvl>
    <w:lvl w:ilvl="3" w:tplc="CB68E2F4" w:tentative="1">
      <w:start w:val="1"/>
      <w:numFmt w:val="bullet"/>
      <w:lvlText w:val="•"/>
      <w:lvlJc w:val="left"/>
      <w:pPr>
        <w:tabs>
          <w:tab w:val="num" w:pos="2880"/>
        </w:tabs>
        <w:ind w:left="2880" w:hanging="360"/>
      </w:pPr>
      <w:rPr>
        <w:rFonts w:ascii="Arial" w:hAnsi="Arial" w:hint="default"/>
      </w:rPr>
    </w:lvl>
    <w:lvl w:ilvl="4" w:tplc="6F626954" w:tentative="1">
      <w:start w:val="1"/>
      <w:numFmt w:val="bullet"/>
      <w:lvlText w:val="•"/>
      <w:lvlJc w:val="left"/>
      <w:pPr>
        <w:tabs>
          <w:tab w:val="num" w:pos="3600"/>
        </w:tabs>
        <w:ind w:left="3600" w:hanging="360"/>
      </w:pPr>
      <w:rPr>
        <w:rFonts w:ascii="Arial" w:hAnsi="Arial" w:hint="default"/>
      </w:rPr>
    </w:lvl>
    <w:lvl w:ilvl="5" w:tplc="2EBE9672" w:tentative="1">
      <w:start w:val="1"/>
      <w:numFmt w:val="bullet"/>
      <w:lvlText w:val="•"/>
      <w:lvlJc w:val="left"/>
      <w:pPr>
        <w:tabs>
          <w:tab w:val="num" w:pos="4320"/>
        </w:tabs>
        <w:ind w:left="4320" w:hanging="360"/>
      </w:pPr>
      <w:rPr>
        <w:rFonts w:ascii="Arial" w:hAnsi="Arial" w:hint="default"/>
      </w:rPr>
    </w:lvl>
    <w:lvl w:ilvl="6" w:tplc="11B48530" w:tentative="1">
      <w:start w:val="1"/>
      <w:numFmt w:val="bullet"/>
      <w:lvlText w:val="•"/>
      <w:lvlJc w:val="left"/>
      <w:pPr>
        <w:tabs>
          <w:tab w:val="num" w:pos="5040"/>
        </w:tabs>
        <w:ind w:left="5040" w:hanging="360"/>
      </w:pPr>
      <w:rPr>
        <w:rFonts w:ascii="Arial" w:hAnsi="Arial" w:hint="default"/>
      </w:rPr>
    </w:lvl>
    <w:lvl w:ilvl="7" w:tplc="FBB4EFA8" w:tentative="1">
      <w:start w:val="1"/>
      <w:numFmt w:val="bullet"/>
      <w:lvlText w:val="•"/>
      <w:lvlJc w:val="left"/>
      <w:pPr>
        <w:tabs>
          <w:tab w:val="num" w:pos="5760"/>
        </w:tabs>
        <w:ind w:left="5760" w:hanging="360"/>
      </w:pPr>
      <w:rPr>
        <w:rFonts w:ascii="Arial" w:hAnsi="Arial" w:hint="default"/>
      </w:rPr>
    </w:lvl>
    <w:lvl w:ilvl="8" w:tplc="89CAA15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6DD42E7"/>
    <w:multiLevelType w:val="multilevel"/>
    <w:tmpl w:val="AE9AB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9C286A"/>
    <w:multiLevelType w:val="multilevel"/>
    <w:tmpl w:val="471A46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7463D2"/>
    <w:multiLevelType w:val="multilevel"/>
    <w:tmpl w:val="07D269F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41715797">
    <w:abstractNumId w:val="5"/>
  </w:num>
  <w:num w:numId="2" w16cid:durableId="144932502">
    <w:abstractNumId w:val="0"/>
  </w:num>
  <w:num w:numId="3" w16cid:durableId="1057164704">
    <w:abstractNumId w:val="21"/>
  </w:num>
  <w:num w:numId="4" w16cid:durableId="143159463">
    <w:abstractNumId w:val="16"/>
  </w:num>
  <w:num w:numId="5" w16cid:durableId="1723943616">
    <w:abstractNumId w:val="6"/>
  </w:num>
  <w:num w:numId="6" w16cid:durableId="659239686">
    <w:abstractNumId w:val="7"/>
  </w:num>
  <w:num w:numId="7" w16cid:durableId="748505621">
    <w:abstractNumId w:val="13"/>
  </w:num>
  <w:num w:numId="8" w16cid:durableId="1968505684">
    <w:abstractNumId w:val="1"/>
  </w:num>
  <w:num w:numId="9" w16cid:durableId="987824463">
    <w:abstractNumId w:val="12"/>
  </w:num>
  <w:num w:numId="10" w16cid:durableId="1074206624">
    <w:abstractNumId w:val="11"/>
  </w:num>
  <w:num w:numId="11" w16cid:durableId="810252088">
    <w:abstractNumId w:val="18"/>
  </w:num>
  <w:num w:numId="12" w16cid:durableId="1683123986">
    <w:abstractNumId w:val="2"/>
  </w:num>
  <w:num w:numId="13" w16cid:durableId="1026949668">
    <w:abstractNumId w:val="17"/>
  </w:num>
  <w:num w:numId="14" w16cid:durableId="1582717881">
    <w:abstractNumId w:val="15"/>
  </w:num>
  <w:num w:numId="15" w16cid:durableId="264534251">
    <w:abstractNumId w:val="14"/>
  </w:num>
  <w:num w:numId="16" w16cid:durableId="63379279">
    <w:abstractNumId w:val="4"/>
  </w:num>
  <w:num w:numId="17" w16cid:durableId="1909802450">
    <w:abstractNumId w:val="19"/>
  </w:num>
  <w:num w:numId="18" w16cid:durableId="1354766782">
    <w:abstractNumId w:val="8"/>
  </w:num>
  <w:num w:numId="19" w16cid:durableId="58484076">
    <w:abstractNumId w:val="10"/>
  </w:num>
  <w:num w:numId="20" w16cid:durableId="230576453">
    <w:abstractNumId w:val="3"/>
  </w:num>
  <w:num w:numId="21" w16cid:durableId="662976327">
    <w:abstractNumId w:val="20"/>
  </w:num>
  <w:num w:numId="22" w16cid:durableId="7792537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B3C"/>
    <w:rsid w:val="00021D7C"/>
    <w:rsid w:val="000220C3"/>
    <w:rsid w:val="0005123F"/>
    <w:rsid w:val="0006106A"/>
    <w:rsid w:val="00070BB9"/>
    <w:rsid w:val="00076FF2"/>
    <w:rsid w:val="000B2332"/>
    <w:rsid w:val="000C65A8"/>
    <w:rsid w:val="001A58C4"/>
    <w:rsid w:val="001F4A41"/>
    <w:rsid w:val="002031E5"/>
    <w:rsid w:val="002504D0"/>
    <w:rsid w:val="002B03AB"/>
    <w:rsid w:val="002B1B5F"/>
    <w:rsid w:val="002D3265"/>
    <w:rsid w:val="002F288D"/>
    <w:rsid w:val="00332A2C"/>
    <w:rsid w:val="00353188"/>
    <w:rsid w:val="003A27E7"/>
    <w:rsid w:val="003A2CD4"/>
    <w:rsid w:val="003C3AFD"/>
    <w:rsid w:val="003E0A01"/>
    <w:rsid w:val="003F187D"/>
    <w:rsid w:val="003F60E4"/>
    <w:rsid w:val="004072EF"/>
    <w:rsid w:val="004147D5"/>
    <w:rsid w:val="005244C9"/>
    <w:rsid w:val="00524CDD"/>
    <w:rsid w:val="00581E4D"/>
    <w:rsid w:val="005A49A4"/>
    <w:rsid w:val="005B6075"/>
    <w:rsid w:val="005C69A8"/>
    <w:rsid w:val="005E3B59"/>
    <w:rsid w:val="005F32CD"/>
    <w:rsid w:val="00681C71"/>
    <w:rsid w:val="006A007F"/>
    <w:rsid w:val="006C218B"/>
    <w:rsid w:val="00712CCF"/>
    <w:rsid w:val="007277F8"/>
    <w:rsid w:val="007A5CCB"/>
    <w:rsid w:val="0083236D"/>
    <w:rsid w:val="0083532D"/>
    <w:rsid w:val="00837E3B"/>
    <w:rsid w:val="00866F8F"/>
    <w:rsid w:val="00881E30"/>
    <w:rsid w:val="008A591A"/>
    <w:rsid w:val="008C7002"/>
    <w:rsid w:val="008D0AF6"/>
    <w:rsid w:val="008D443B"/>
    <w:rsid w:val="00947D42"/>
    <w:rsid w:val="009E111F"/>
    <w:rsid w:val="009E1ED5"/>
    <w:rsid w:val="00A256CE"/>
    <w:rsid w:val="00AA3BFA"/>
    <w:rsid w:val="00AD5AB2"/>
    <w:rsid w:val="00AE0B45"/>
    <w:rsid w:val="00AF7B35"/>
    <w:rsid w:val="00B23598"/>
    <w:rsid w:val="00B7601F"/>
    <w:rsid w:val="00B84B40"/>
    <w:rsid w:val="00BA38B0"/>
    <w:rsid w:val="00BA42BD"/>
    <w:rsid w:val="00BB0AFB"/>
    <w:rsid w:val="00BC0839"/>
    <w:rsid w:val="00BD71BC"/>
    <w:rsid w:val="00C31F6B"/>
    <w:rsid w:val="00C32B3C"/>
    <w:rsid w:val="00C42781"/>
    <w:rsid w:val="00C655A5"/>
    <w:rsid w:val="00C746AB"/>
    <w:rsid w:val="00CB1487"/>
    <w:rsid w:val="00CD2BA6"/>
    <w:rsid w:val="00CF52C5"/>
    <w:rsid w:val="00CF56BC"/>
    <w:rsid w:val="00CF629C"/>
    <w:rsid w:val="00D55500"/>
    <w:rsid w:val="00D56EE4"/>
    <w:rsid w:val="00D75490"/>
    <w:rsid w:val="00DB2C53"/>
    <w:rsid w:val="00DB75B1"/>
    <w:rsid w:val="00DC0B66"/>
    <w:rsid w:val="00DC22F3"/>
    <w:rsid w:val="00DD39DF"/>
    <w:rsid w:val="00DE3805"/>
    <w:rsid w:val="00E1127F"/>
    <w:rsid w:val="00E42D67"/>
    <w:rsid w:val="00E44032"/>
    <w:rsid w:val="00E45ECA"/>
    <w:rsid w:val="00E56887"/>
    <w:rsid w:val="00E82153"/>
    <w:rsid w:val="00EA326D"/>
    <w:rsid w:val="00EA75EF"/>
    <w:rsid w:val="00EC6A56"/>
    <w:rsid w:val="00F27CA6"/>
    <w:rsid w:val="00F41E60"/>
    <w:rsid w:val="00F91C90"/>
    <w:rsid w:val="00FC5CC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A3F39"/>
  <w15:chartTrackingRefBased/>
  <w15:docId w15:val="{BA27EEE5-0F2D-E94D-938B-E4F3DE2E0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A41"/>
    <w:pPr>
      <w:jc w:val="both"/>
    </w:pPr>
    <w:rPr>
      <w:rFonts w:ascii="Century Gothic" w:hAnsi="Century Gothic"/>
    </w:rPr>
  </w:style>
  <w:style w:type="paragraph" w:styleId="Heading3">
    <w:name w:val="heading 3"/>
    <w:basedOn w:val="Normal"/>
    <w:link w:val="Heading3Char"/>
    <w:uiPriority w:val="9"/>
    <w:qFormat/>
    <w:rsid w:val="00CF56BC"/>
    <w:pPr>
      <w:spacing w:before="100" w:beforeAutospacing="1" w:after="100" w:afterAutospacing="1"/>
      <w:jc w:val="left"/>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B3C"/>
    <w:pPr>
      <w:ind w:left="720"/>
      <w:contextualSpacing/>
    </w:pPr>
  </w:style>
  <w:style w:type="paragraph" w:customStyle="1" w:styleId="Default">
    <w:name w:val="Default"/>
    <w:rsid w:val="00C32B3C"/>
    <w:pPr>
      <w:autoSpaceDE w:val="0"/>
      <w:autoSpaceDN w:val="0"/>
      <w:adjustRightInd w:val="0"/>
    </w:pPr>
    <w:rPr>
      <w:rFonts w:ascii="Humnst777 BT" w:hAnsi="Humnst777 BT" w:cs="Humnst777 BT"/>
      <w:color w:val="000000"/>
      <w:lang w:val="en-US"/>
      <w14:ligatures w14:val="standardContextual"/>
    </w:rPr>
  </w:style>
  <w:style w:type="table" w:styleId="TableGrid">
    <w:name w:val="Table Grid"/>
    <w:basedOn w:val="TableNormal"/>
    <w:uiPriority w:val="39"/>
    <w:rsid w:val="00C32B3C"/>
    <w:rPr>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2B3C"/>
    <w:rPr>
      <w:color w:val="0563C1" w:themeColor="hyperlink"/>
      <w:u w:val="single"/>
    </w:rPr>
  </w:style>
  <w:style w:type="character" w:styleId="UnresolvedMention">
    <w:name w:val="Unresolved Mention"/>
    <w:basedOn w:val="DefaultParagraphFont"/>
    <w:uiPriority w:val="99"/>
    <w:semiHidden/>
    <w:unhideWhenUsed/>
    <w:rsid w:val="00C32B3C"/>
    <w:rPr>
      <w:color w:val="605E5C"/>
      <w:shd w:val="clear" w:color="auto" w:fill="E1DFDD"/>
    </w:rPr>
  </w:style>
  <w:style w:type="character" w:customStyle="1" w:styleId="apple-converted-space">
    <w:name w:val="apple-converted-space"/>
    <w:basedOn w:val="DefaultParagraphFont"/>
    <w:rsid w:val="00E45ECA"/>
  </w:style>
  <w:style w:type="paragraph" w:customStyle="1" w:styleId="pending">
    <w:name w:val="pending"/>
    <w:basedOn w:val="Normal"/>
    <w:rsid w:val="000220C3"/>
    <w:pPr>
      <w:spacing w:before="100" w:beforeAutospacing="1" w:after="100" w:afterAutospacing="1"/>
      <w:jc w:val="left"/>
    </w:pPr>
    <w:rPr>
      <w:rFonts w:ascii="Times New Roman" w:eastAsia="Times New Roman" w:hAnsi="Times New Roman" w:cs="Times New Roman"/>
      <w:lang w:eastAsia="en-GB"/>
    </w:rPr>
  </w:style>
  <w:style w:type="character" w:styleId="Strong">
    <w:name w:val="Strong"/>
    <w:basedOn w:val="DefaultParagraphFont"/>
    <w:uiPriority w:val="22"/>
    <w:qFormat/>
    <w:rsid w:val="000220C3"/>
    <w:rPr>
      <w:b/>
      <w:bCs/>
    </w:rPr>
  </w:style>
  <w:style w:type="character" w:customStyle="1" w:styleId="pending1">
    <w:name w:val="pending1"/>
    <w:basedOn w:val="DefaultParagraphFont"/>
    <w:rsid w:val="000220C3"/>
  </w:style>
  <w:style w:type="paragraph" w:styleId="NormalWeb">
    <w:name w:val="Normal (Web)"/>
    <w:basedOn w:val="Normal"/>
    <w:uiPriority w:val="99"/>
    <w:unhideWhenUsed/>
    <w:rsid w:val="000220C3"/>
    <w:pPr>
      <w:spacing w:before="100" w:beforeAutospacing="1" w:after="100" w:afterAutospacing="1"/>
      <w:jc w:val="left"/>
    </w:pPr>
    <w:rPr>
      <w:rFonts w:ascii="Times New Roman" w:eastAsia="Times New Roman" w:hAnsi="Times New Roman" w:cs="Times New Roman"/>
      <w:lang w:eastAsia="en-GB"/>
    </w:rPr>
  </w:style>
  <w:style w:type="paragraph" w:styleId="Revision">
    <w:name w:val="Revision"/>
    <w:hidden/>
    <w:uiPriority w:val="99"/>
    <w:semiHidden/>
    <w:rsid w:val="00712CCF"/>
  </w:style>
  <w:style w:type="paragraph" w:styleId="BalloonText">
    <w:name w:val="Balloon Text"/>
    <w:basedOn w:val="Normal"/>
    <w:link w:val="BalloonTextChar"/>
    <w:uiPriority w:val="99"/>
    <w:semiHidden/>
    <w:unhideWhenUsed/>
    <w:rsid w:val="000512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23F"/>
    <w:rPr>
      <w:rFonts w:ascii="Segoe UI" w:hAnsi="Segoe UI" w:cs="Segoe UI"/>
      <w:sz w:val="18"/>
      <w:szCs w:val="18"/>
    </w:rPr>
  </w:style>
  <w:style w:type="paragraph" w:styleId="Header">
    <w:name w:val="header"/>
    <w:basedOn w:val="Normal"/>
    <w:link w:val="HeaderChar"/>
    <w:uiPriority w:val="99"/>
    <w:unhideWhenUsed/>
    <w:rsid w:val="00E44032"/>
    <w:pPr>
      <w:tabs>
        <w:tab w:val="center" w:pos="4513"/>
        <w:tab w:val="right" w:pos="9026"/>
      </w:tabs>
    </w:pPr>
  </w:style>
  <w:style w:type="character" w:customStyle="1" w:styleId="HeaderChar">
    <w:name w:val="Header Char"/>
    <w:basedOn w:val="DefaultParagraphFont"/>
    <w:link w:val="Header"/>
    <w:uiPriority w:val="99"/>
    <w:rsid w:val="00E44032"/>
  </w:style>
  <w:style w:type="paragraph" w:styleId="Footer">
    <w:name w:val="footer"/>
    <w:basedOn w:val="Normal"/>
    <w:link w:val="FooterChar"/>
    <w:uiPriority w:val="99"/>
    <w:unhideWhenUsed/>
    <w:rsid w:val="00E44032"/>
    <w:pPr>
      <w:tabs>
        <w:tab w:val="center" w:pos="4513"/>
        <w:tab w:val="right" w:pos="9026"/>
      </w:tabs>
    </w:pPr>
  </w:style>
  <w:style w:type="character" w:customStyle="1" w:styleId="FooterChar">
    <w:name w:val="Footer Char"/>
    <w:basedOn w:val="DefaultParagraphFont"/>
    <w:link w:val="Footer"/>
    <w:uiPriority w:val="99"/>
    <w:rsid w:val="00E44032"/>
  </w:style>
  <w:style w:type="character" w:styleId="PageNumber">
    <w:name w:val="page number"/>
    <w:basedOn w:val="DefaultParagraphFont"/>
    <w:uiPriority w:val="99"/>
    <w:semiHidden/>
    <w:unhideWhenUsed/>
    <w:rsid w:val="00E42D67"/>
  </w:style>
  <w:style w:type="character" w:customStyle="1" w:styleId="Heading3Char">
    <w:name w:val="Heading 3 Char"/>
    <w:basedOn w:val="DefaultParagraphFont"/>
    <w:link w:val="Heading3"/>
    <w:uiPriority w:val="9"/>
    <w:rsid w:val="00CF56BC"/>
    <w:rPr>
      <w:rFonts w:ascii="Times New Roman" w:eastAsia="Times New Roman" w:hAnsi="Times New Roman" w:cs="Times New Roman"/>
      <w:b/>
      <w:bCs/>
      <w:sz w:val="27"/>
      <w:szCs w:val="27"/>
      <w:lang w:eastAsia="en-GB"/>
    </w:rPr>
  </w:style>
  <w:style w:type="character" w:customStyle="1" w:styleId="ms-1">
    <w:name w:val="ms-1"/>
    <w:basedOn w:val="DefaultParagraphFont"/>
    <w:rsid w:val="00D75490"/>
  </w:style>
  <w:style w:type="character" w:customStyle="1" w:styleId="max-w-15ch">
    <w:name w:val="max-w-[15ch]"/>
    <w:basedOn w:val="DefaultParagraphFont"/>
    <w:rsid w:val="00D75490"/>
  </w:style>
  <w:style w:type="character" w:customStyle="1" w:styleId="-me-1">
    <w:name w:val="-me-1"/>
    <w:basedOn w:val="DefaultParagraphFont"/>
    <w:rsid w:val="00D75490"/>
  </w:style>
  <w:style w:type="character" w:styleId="Emphasis">
    <w:name w:val="Emphasis"/>
    <w:basedOn w:val="DefaultParagraphFont"/>
    <w:uiPriority w:val="20"/>
    <w:qFormat/>
    <w:rsid w:val="00D754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76213">
      <w:bodyDiv w:val="1"/>
      <w:marLeft w:val="0"/>
      <w:marRight w:val="0"/>
      <w:marTop w:val="0"/>
      <w:marBottom w:val="0"/>
      <w:divBdr>
        <w:top w:val="none" w:sz="0" w:space="0" w:color="auto"/>
        <w:left w:val="none" w:sz="0" w:space="0" w:color="auto"/>
        <w:bottom w:val="none" w:sz="0" w:space="0" w:color="auto"/>
        <w:right w:val="none" w:sz="0" w:space="0" w:color="auto"/>
      </w:divBdr>
    </w:div>
    <w:div w:id="731152324">
      <w:bodyDiv w:val="1"/>
      <w:marLeft w:val="0"/>
      <w:marRight w:val="0"/>
      <w:marTop w:val="0"/>
      <w:marBottom w:val="0"/>
      <w:divBdr>
        <w:top w:val="none" w:sz="0" w:space="0" w:color="auto"/>
        <w:left w:val="none" w:sz="0" w:space="0" w:color="auto"/>
        <w:bottom w:val="none" w:sz="0" w:space="0" w:color="auto"/>
        <w:right w:val="none" w:sz="0" w:space="0" w:color="auto"/>
      </w:divBdr>
    </w:div>
    <w:div w:id="997880816">
      <w:bodyDiv w:val="1"/>
      <w:marLeft w:val="0"/>
      <w:marRight w:val="0"/>
      <w:marTop w:val="0"/>
      <w:marBottom w:val="0"/>
      <w:divBdr>
        <w:top w:val="none" w:sz="0" w:space="0" w:color="auto"/>
        <w:left w:val="none" w:sz="0" w:space="0" w:color="auto"/>
        <w:bottom w:val="none" w:sz="0" w:space="0" w:color="auto"/>
        <w:right w:val="none" w:sz="0" w:space="0" w:color="auto"/>
      </w:divBdr>
    </w:div>
    <w:div w:id="1201672297">
      <w:bodyDiv w:val="1"/>
      <w:marLeft w:val="0"/>
      <w:marRight w:val="0"/>
      <w:marTop w:val="0"/>
      <w:marBottom w:val="0"/>
      <w:divBdr>
        <w:top w:val="none" w:sz="0" w:space="0" w:color="auto"/>
        <w:left w:val="none" w:sz="0" w:space="0" w:color="auto"/>
        <w:bottom w:val="none" w:sz="0" w:space="0" w:color="auto"/>
        <w:right w:val="none" w:sz="0" w:space="0" w:color="auto"/>
      </w:divBdr>
    </w:div>
    <w:div w:id="1754163282">
      <w:bodyDiv w:val="1"/>
      <w:marLeft w:val="0"/>
      <w:marRight w:val="0"/>
      <w:marTop w:val="0"/>
      <w:marBottom w:val="0"/>
      <w:divBdr>
        <w:top w:val="none" w:sz="0" w:space="0" w:color="auto"/>
        <w:left w:val="none" w:sz="0" w:space="0" w:color="auto"/>
        <w:bottom w:val="none" w:sz="0" w:space="0" w:color="auto"/>
        <w:right w:val="none" w:sz="0" w:space="0" w:color="auto"/>
      </w:divBdr>
    </w:div>
    <w:div w:id="1908414369">
      <w:bodyDiv w:val="1"/>
      <w:marLeft w:val="0"/>
      <w:marRight w:val="0"/>
      <w:marTop w:val="0"/>
      <w:marBottom w:val="0"/>
      <w:divBdr>
        <w:top w:val="none" w:sz="0" w:space="0" w:color="auto"/>
        <w:left w:val="none" w:sz="0" w:space="0" w:color="auto"/>
        <w:bottom w:val="none" w:sz="0" w:space="0" w:color="auto"/>
        <w:right w:val="none" w:sz="0" w:space="0" w:color="auto"/>
      </w:divBdr>
      <w:divsChild>
        <w:div w:id="2132742331">
          <w:marLeft w:val="360"/>
          <w:marRight w:val="0"/>
          <w:marTop w:val="200"/>
          <w:marBottom w:val="0"/>
          <w:divBdr>
            <w:top w:val="none" w:sz="0" w:space="0" w:color="auto"/>
            <w:left w:val="none" w:sz="0" w:space="0" w:color="auto"/>
            <w:bottom w:val="none" w:sz="0" w:space="0" w:color="auto"/>
            <w:right w:val="none" w:sz="0" w:space="0" w:color="auto"/>
          </w:divBdr>
        </w:div>
        <w:div w:id="470169794">
          <w:marLeft w:val="360"/>
          <w:marRight w:val="0"/>
          <w:marTop w:val="200"/>
          <w:marBottom w:val="0"/>
          <w:divBdr>
            <w:top w:val="none" w:sz="0" w:space="0" w:color="auto"/>
            <w:left w:val="none" w:sz="0" w:space="0" w:color="auto"/>
            <w:bottom w:val="none" w:sz="0" w:space="0" w:color="auto"/>
            <w:right w:val="none" w:sz="0" w:space="0" w:color="auto"/>
          </w:divBdr>
        </w:div>
      </w:divsChild>
    </w:div>
    <w:div w:id="2066833719">
      <w:bodyDiv w:val="1"/>
      <w:marLeft w:val="0"/>
      <w:marRight w:val="0"/>
      <w:marTop w:val="0"/>
      <w:marBottom w:val="0"/>
      <w:divBdr>
        <w:top w:val="none" w:sz="0" w:space="0" w:color="auto"/>
        <w:left w:val="none" w:sz="0" w:space="0" w:color="auto"/>
        <w:bottom w:val="none" w:sz="0" w:space="0" w:color="auto"/>
        <w:right w:val="none" w:sz="0" w:space="0" w:color="auto"/>
      </w:divBdr>
      <w:divsChild>
        <w:div w:id="1251885841">
          <w:marLeft w:val="547"/>
          <w:marRight w:val="0"/>
          <w:marTop w:val="0"/>
          <w:marBottom w:val="0"/>
          <w:divBdr>
            <w:top w:val="none" w:sz="0" w:space="0" w:color="auto"/>
            <w:left w:val="none" w:sz="0" w:space="0" w:color="auto"/>
            <w:bottom w:val="none" w:sz="0" w:space="0" w:color="auto"/>
            <w:right w:val="none" w:sz="0" w:space="0" w:color="auto"/>
          </w:divBdr>
        </w:div>
      </w:divsChild>
    </w:div>
    <w:div w:id="212133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mailula@icasa.org.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1629</Words>
  <Characters>10250</Characters>
  <Application>Microsoft Office Word</Application>
  <DocSecurity>0</DocSecurity>
  <Lines>212</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 Mentz</dc:creator>
  <cp:keywords/>
  <dc:description/>
  <cp:lastModifiedBy>Peter Mailula</cp:lastModifiedBy>
  <cp:revision>2</cp:revision>
  <dcterms:created xsi:type="dcterms:W3CDTF">2026-03-16T08:08:00Z</dcterms:created>
  <dcterms:modified xsi:type="dcterms:W3CDTF">2026-03-16T08:08:00Z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2024-03-01T09:58:07Z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eb326d04-15e8-4836-b78e-d0695e92d2f7</vt:lpwstr>
  </property>
  <property fmtid="{D5CDD505-2E9C-101B-9397-08002B2CF9AE}" pid="8" name="MSIP_Label_0359f705-2ba0-454b-9cfc-6ce5bcaac040_ContentBits">
    <vt:lpwstr>2</vt:lpwstr>
  </property>
</Properties>
</file>