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9EE0" w14:textId="77777777" w:rsidR="00E02484" w:rsidRDefault="00E02484" w:rsidP="00E02484"/>
    <w:p w14:paraId="4196F3EC" w14:textId="0C1C0AC3" w:rsidR="00E02484" w:rsidRDefault="00E02484" w:rsidP="00E02484">
      <w:r>
        <w:t>Chairperson: Signal Distribution Council Committee</w:t>
      </w:r>
    </w:p>
    <w:p w14:paraId="57188265" w14:textId="77777777" w:rsidR="00E02484" w:rsidRDefault="00E02484" w:rsidP="00E02484">
      <w:r>
        <w:t>ICASA</w:t>
      </w:r>
    </w:p>
    <w:p w14:paraId="624F387A" w14:textId="77777777" w:rsidR="00E02484" w:rsidRDefault="00E02484" w:rsidP="00E02484">
      <w:r>
        <w:t>Email: signaldistribution@icasa.org.za</w:t>
      </w:r>
    </w:p>
    <w:p w14:paraId="14368DB8" w14:textId="4DE8F335" w:rsidR="00E02484" w:rsidRDefault="00B37B39" w:rsidP="00E02484">
      <w:pPr>
        <w:jc w:val="right"/>
      </w:pPr>
      <w:r>
        <w:t>27</w:t>
      </w:r>
      <w:r w:rsidR="00E02484">
        <w:t xml:space="preserve"> February 2026</w:t>
      </w:r>
    </w:p>
    <w:p w14:paraId="0BE786D1" w14:textId="77777777" w:rsidR="00E02484" w:rsidRDefault="00E02484" w:rsidP="00E02484">
      <w:r>
        <w:t>Dear Committee Chairperson</w:t>
      </w:r>
    </w:p>
    <w:p w14:paraId="4C2BB187" w14:textId="77777777" w:rsidR="00E02484" w:rsidRPr="008A6582" w:rsidRDefault="00E02484" w:rsidP="00E02484">
      <w:pPr>
        <w:rPr>
          <w:b/>
        </w:rPr>
      </w:pPr>
      <w:r>
        <w:rPr>
          <w:b/>
        </w:rPr>
        <w:t>RADIO PULPIT NPC: SUBMISSIONS ON THE DRAFT SIGNAL DISTRIBUTION REGULATIONS 2026</w:t>
      </w:r>
    </w:p>
    <w:p w14:paraId="43466B53" w14:textId="77777777" w:rsidR="00E02484" w:rsidRDefault="00E02484" w:rsidP="00E02484">
      <w:pPr>
        <w:pStyle w:val="ListParagraph"/>
        <w:numPr>
          <w:ilvl w:val="0"/>
          <w:numId w:val="1"/>
        </w:numPr>
        <w:contextualSpacing w:val="0"/>
      </w:pPr>
      <w:r>
        <w:t>INTRODUCTION</w:t>
      </w:r>
    </w:p>
    <w:p w14:paraId="7F901C7A" w14:textId="77777777" w:rsidR="00E02484" w:rsidRDefault="00E02484" w:rsidP="00E02484">
      <w:pPr>
        <w:pStyle w:val="ListParagraph"/>
        <w:numPr>
          <w:ilvl w:val="1"/>
          <w:numId w:val="1"/>
        </w:numPr>
        <w:ind w:left="964" w:hanging="680"/>
        <w:contextualSpacing w:val="0"/>
      </w:pPr>
      <w:r>
        <w:t>Radio Pulpit NPC (RP) is the licensee in respect of an AM community of interest (Christian) sound broadcasting service, namely, Radio Pulpit.</w:t>
      </w:r>
    </w:p>
    <w:p w14:paraId="56A15F8B" w14:textId="77777777" w:rsidR="00E02484" w:rsidRDefault="00E02484" w:rsidP="00E02484">
      <w:pPr>
        <w:pStyle w:val="ListParagraph"/>
        <w:numPr>
          <w:ilvl w:val="1"/>
          <w:numId w:val="1"/>
        </w:numPr>
        <w:ind w:left="964" w:hanging="680"/>
        <w:contextualSpacing w:val="0"/>
      </w:pPr>
      <w:r>
        <w:t xml:space="preserve">In Notice 3731, published in Government Gazette No. 53966 dated 16 January 2026, the Independent Communications Authority of South Africa (ICASA) published Draft Signal Distribution Services Regulations 2026 (the Draft Regs 2026) for public notice and comment. </w:t>
      </w:r>
    </w:p>
    <w:p w14:paraId="07DB2EA4" w14:textId="77777777" w:rsidR="00E02484" w:rsidRDefault="00E02484" w:rsidP="00E02484">
      <w:pPr>
        <w:pStyle w:val="ListParagraph"/>
        <w:numPr>
          <w:ilvl w:val="1"/>
          <w:numId w:val="1"/>
        </w:numPr>
        <w:ind w:left="964" w:hanging="680"/>
        <w:contextualSpacing w:val="0"/>
      </w:pPr>
      <w:r>
        <w:t xml:space="preserve">RP notes that </w:t>
      </w:r>
      <w:proofErr w:type="gramStart"/>
      <w:r>
        <w:t>a number of</w:t>
      </w:r>
      <w:proofErr w:type="gramEnd"/>
      <w:r>
        <w:t xml:space="preserve"> its previous joint submissions with Primedia (Pty) Ltd have been included in the Draft Regs 2026. </w:t>
      </w:r>
    </w:p>
    <w:p w14:paraId="7E990691" w14:textId="77777777" w:rsidR="00E02484" w:rsidRDefault="00E02484" w:rsidP="00E02484">
      <w:pPr>
        <w:pStyle w:val="ListParagraph"/>
        <w:numPr>
          <w:ilvl w:val="1"/>
          <w:numId w:val="1"/>
        </w:numPr>
        <w:ind w:left="964" w:hanging="680"/>
        <w:contextualSpacing w:val="0"/>
      </w:pPr>
      <w:r>
        <w:t>RP confines itself to a few outstanding matters that are of particular concern and requests an opportunity to make representations at any oral hearings to be held.</w:t>
      </w:r>
    </w:p>
    <w:p w14:paraId="4F9DE355" w14:textId="77777777" w:rsidR="00E02484" w:rsidRDefault="00E02484" w:rsidP="00E02484">
      <w:pPr>
        <w:pStyle w:val="ListParagraph"/>
        <w:numPr>
          <w:ilvl w:val="0"/>
          <w:numId w:val="1"/>
        </w:numPr>
        <w:contextualSpacing w:val="0"/>
      </w:pPr>
      <w:r>
        <w:t>AD Regulation 1 - DEFNITIONS</w:t>
      </w:r>
    </w:p>
    <w:p w14:paraId="77271B0D" w14:textId="77777777" w:rsidR="00E02484" w:rsidRDefault="00E02484" w:rsidP="00E02484">
      <w:pPr>
        <w:pStyle w:val="ListParagraph"/>
        <w:numPr>
          <w:ilvl w:val="1"/>
          <w:numId w:val="1"/>
        </w:numPr>
        <w:contextualSpacing w:val="0"/>
      </w:pPr>
      <w:r>
        <w:t>RP is of the view that although Sentech is defined in regulation 1 as being the “common carrier”, its obligation to provide signal distribution services to all licensed broadcasters is insufficiently emphasised in the Draft Regs 2026.</w:t>
      </w:r>
    </w:p>
    <w:p w14:paraId="3245C67F" w14:textId="77777777" w:rsidR="00E02484" w:rsidRDefault="00E02484" w:rsidP="00E02484">
      <w:pPr>
        <w:pStyle w:val="ListParagraph"/>
        <w:numPr>
          <w:ilvl w:val="1"/>
          <w:numId w:val="1"/>
        </w:numPr>
        <w:contextualSpacing w:val="0"/>
      </w:pPr>
      <w:r>
        <w:t>This is a matter of particular concern to RP given that:</w:t>
      </w:r>
    </w:p>
    <w:p w14:paraId="39DCCAE2" w14:textId="77777777" w:rsidR="00E02484" w:rsidRDefault="00E02484" w:rsidP="00E02484">
      <w:pPr>
        <w:pStyle w:val="ListParagraph"/>
        <w:numPr>
          <w:ilvl w:val="2"/>
          <w:numId w:val="1"/>
        </w:numPr>
        <w:contextualSpacing w:val="0"/>
      </w:pPr>
      <w:r>
        <w:t>it is an AM broadcaster and there is no FM alternative that would allow it to cover its existing licensed coverage area in Gauteng, Mpumalanga, North-West and Limpopo; and</w:t>
      </w:r>
    </w:p>
    <w:p w14:paraId="66600449" w14:textId="77777777" w:rsidR="00E02484" w:rsidRDefault="00E02484" w:rsidP="00E02484">
      <w:pPr>
        <w:pStyle w:val="ListParagraph"/>
        <w:numPr>
          <w:ilvl w:val="2"/>
          <w:numId w:val="1"/>
        </w:numPr>
        <w:contextualSpacing w:val="0"/>
      </w:pPr>
      <w:r>
        <w:lastRenderedPageBreak/>
        <w:t>Sentech has already indicated to Radio Pulpit and others that medium wave (AM) is a “sunset technology” and that it no longer wishes to provide AM services going forward.</w:t>
      </w:r>
    </w:p>
    <w:p w14:paraId="0C91499A" w14:textId="77777777" w:rsidR="00E02484" w:rsidRDefault="00E02484" w:rsidP="00E02484">
      <w:pPr>
        <w:pStyle w:val="ListParagraph"/>
        <w:numPr>
          <w:ilvl w:val="1"/>
          <w:numId w:val="1"/>
        </w:numPr>
        <w:contextualSpacing w:val="0"/>
      </w:pPr>
      <w:r>
        <w:t>RP sees Sentech’s stance as posing an existential threat to it as a long-standing AM broadcaster given the lack of FM alternatives in its coverage area.</w:t>
      </w:r>
    </w:p>
    <w:p w14:paraId="3CC14DB2" w14:textId="77777777" w:rsidR="00E02484" w:rsidRDefault="00E02484" w:rsidP="00E02484">
      <w:pPr>
        <w:pStyle w:val="ListParagraph"/>
        <w:numPr>
          <w:ilvl w:val="1"/>
          <w:numId w:val="1"/>
        </w:numPr>
        <w:contextualSpacing w:val="0"/>
      </w:pPr>
      <w:r>
        <w:t>Consequently, RP proposes that the definitions of “Terrestrial signal distribution AM sound broadcasting services”, “Terrestrial signal distribution FM sound broadcasting services”, and</w:t>
      </w:r>
      <w:r w:rsidRPr="00BA1D40">
        <w:t xml:space="preserve"> </w:t>
      </w:r>
      <w:r>
        <w:t>“Terrestrial signal distribution television broadcasting services”, be amended to further emphasise Sentech’s common carrier obligations such that they read as follows:</w:t>
      </w:r>
    </w:p>
    <w:p w14:paraId="5ECE7AB5" w14:textId="77777777" w:rsidR="00E02484" w:rsidRDefault="00E02484" w:rsidP="00E02484">
      <w:pPr>
        <w:pStyle w:val="ListParagraph"/>
        <w:ind w:left="1364"/>
      </w:pPr>
      <w:r>
        <w:t xml:space="preserve">“Terrestrial signal distribution AM sound broadcasting services” means a wholesale terrestrial signal distribution AM sound broadcasting service </w:t>
      </w:r>
      <w:r w:rsidRPr="00DA7406">
        <w:rPr>
          <w:u w:val="single"/>
        </w:rPr>
        <w:t xml:space="preserve">required to be </w:t>
      </w:r>
      <w:r>
        <w:t>provided by Sentech to a broadcasting service licensee in the Republic</w:t>
      </w:r>
      <w:r w:rsidRPr="002112F1">
        <w:t xml:space="preserve"> </w:t>
      </w:r>
      <w:r w:rsidRPr="00DA7406">
        <w:rPr>
          <w:u w:val="single"/>
        </w:rPr>
        <w:t>upon request</w:t>
      </w:r>
      <w:proofErr w:type="gramStart"/>
      <w:r>
        <w:t>”;</w:t>
      </w:r>
      <w:proofErr w:type="gramEnd"/>
    </w:p>
    <w:p w14:paraId="324651D0" w14:textId="77777777" w:rsidR="00E02484" w:rsidRDefault="00E02484" w:rsidP="00E02484">
      <w:pPr>
        <w:ind w:left="1364"/>
      </w:pPr>
      <w:r>
        <w:t xml:space="preserve">“Terrestrial signal distribution FM sound broadcasting services” means a wholesale terrestrial signal distribution FM sound broadcasting service </w:t>
      </w:r>
      <w:r w:rsidRPr="00DA7406">
        <w:rPr>
          <w:u w:val="single"/>
        </w:rPr>
        <w:t>required to be</w:t>
      </w:r>
      <w:r>
        <w:t xml:space="preserve"> provided by Sentech to a broadcasting service licensee in the Republic”</w:t>
      </w:r>
      <w:r w:rsidRPr="00BA1D40">
        <w:t xml:space="preserve"> </w:t>
      </w:r>
      <w:r w:rsidRPr="00DA7406">
        <w:rPr>
          <w:u w:val="single"/>
        </w:rPr>
        <w:t>upon request</w:t>
      </w:r>
      <w:r>
        <w:t>; and</w:t>
      </w:r>
    </w:p>
    <w:p w14:paraId="4EBD6D28" w14:textId="77777777" w:rsidR="00E02484" w:rsidRDefault="00E02484" w:rsidP="00E02484">
      <w:pPr>
        <w:ind w:left="1364"/>
      </w:pPr>
      <w:r>
        <w:t xml:space="preserve">“Terrestrial signal distribution television broadcasting services” means a wholesale terrestrial signal distribution television broadcasting service </w:t>
      </w:r>
      <w:r w:rsidRPr="00DA7406">
        <w:rPr>
          <w:u w:val="single"/>
        </w:rPr>
        <w:t>required to be</w:t>
      </w:r>
      <w:r>
        <w:t xml:space="preserve"> provided by Sentech</w:t>
      </w:r>
      <w:r w:rsidRPr="00DA7406">
        <w:rPr>
          <w:u w:val="single"/>
        </w:rPr>
        <w:t xml:space="preserve"> </w:t>
      </w:r>
      <w:r>
        <w:t>to a broadcasting service licensee in the Republic</w:t>
      </w:r>
      <w:r w:rsidRPr="00BA1D40">
        <w:t xml:space="preserve"> </w:t>
      </w:r>
      <w:r w:rsidRPr="00DA7406">
        <w:rPr>
          <w:u w:val="single"/>
        </w:rPr>
        <w:t>upon request</w:t>
      </w:r>
      <w:r>
        <w:t>”.</w:t>
      </w:r>
    </w:p>
    <w:p w14:paraId="54117424" w14:textId="77777777" w:rsidR="00E02484" w:rsidRDefault="00E02484" w:rsidP="00E02484">
      <w:pPr>
        <w:pStyle w:val="ListParagraph"/>
        <w:numPr>
          <w:ilvl w:val="0"/>
          <w:numId w:val="1"/>
        </w:numPr>
        <w:contextualSpacing w:val="0"/>
      </w:pPr>
      <w:r>
        <w:t>AD REGULATION 8(c)(</w:t>
      </w:r>
      <w:proofErr w:type="spellStart"/>
      <w:r>
        <w:t>i</w:t>
      </w:r>
      <w:proofErr w:type="spellEnd"/>
      <w:r>
        <w:t>)</w:t>
      </w:r>
    </w:p>
    <w:p w14:paraId="3CA17666" w14:textId="77777777" w:rsidR="00E02484" w:rsidRDefault="00E02484" w:rsidP="00E02484">
      <w:pPr>
        <w:pStyle w:val="ListParagraph"/>
        <w:numPr>
          <w:ilvl w:val="1"/>
          <w:numId w:val="1"/>
        </w:numPr>
        <w:ind w:left="964" w:hanging="680"/>
        <w:contextualSpacing w:val="0"/>
      </w:pPr>
      <w:r>
        <w:t>RP is of the view that it is essential that ICASA publishes the draft ROs for public notice and comment.</w:t>
      </w:r>
    </w:p>
    <w:p w14:paraId="1948016C" w14:textId="77777777" w:rsidR="00E02484" w:rsidRDefault="00E02484" w:rsidP="00E02484">
      <w:pPr>
        <w:pStyle w:val="ListParagraph"/>
        <w:numPr>
          <w:ilvl w:val="1"/>
          <w:numId w:val="1"/>
        </w:numPr>
        <w:ind w:left="964" w:hanging="680"/>
        <w:contextualSpacing w:val="0"/>
      </w:pPr>
      <w:proofErr w:type="gramStart"/>
      <w:r>
        <w:t>Consequently</w:t>
      </w:r>
      <w:proofErr w:type="gramEnd"/>
      <w:r>
        <w:t xml:space="preserve"> it is of the view that the word “may” in sub-regulation 8(c)(</w:t>
      </w:r>
      <w:proofErr w:type="spellStart"/>
      <w:r>
        <w:t>i</w:t>
      </w:r>
      <w:proofErr w:type="spellEnd"/>
      <w:r>
        <w:t xml:space="preserve">) ought to be replaced with the word “must” to make such notice and comment publication a peremptory obligation upon ICASA in the interests of transparency and good governance of the signal distribution sector. </w:t>
      </w:r>
    </w:p>
    <w:p w14:paraId="7A6B41F4" w14:textId="77777777" w:rsidR="00E02484" w:rsidRDefault="00E02484" w:rsidP="00E02484">
      <w:pPr>
        <w:pStyle w:val="ListParagraph"/>
        <w:numPr>
          <w:ilvl w:val="0"/>
          <w:numId w:val="1"/>
        </w:numPr>
        <w:contextualSpacing w:val="0"/>
      </w:pPr>
      <w:r>
        <w:t>AD PARAGRAPH 5 of APPENDIX A</w:t>
      </w:r>
    </w:p>
    <w:p w14:paraId="7FCE36E8" w14:textId="77777777" w:rsidR="00E02484" w:rsidRDefault="00E02484" w:rsidP="00E02484">
      <w:pPr>
        <w:pStyle w:val="ListParagraph"/>
        <w:numPr>
          <w:ilvl w:val="1"/>
          <w:numId w:val="1"/>
        </w:numPr>
        <w:ind w:left="964" w:hanging="680"/>
        <w:contextualSpacing w:val="0"/>
      </w:pPr>
      <w:r>
        <w:t>RP is extremely concerned about the paucity of detail in this paragraph given the fact of Sentech’s waning ability to maintain high service levels as is being experienced by numerous broadcasters.</w:t>
      </w:r>
    </w:p>
    <w:p w14:paraId="251D597E" w14:textId="77777777" w:rsidR="00E02484" w:rsidRDefault="00E02484" w:rsidP="00E02484">
      <w:pPr>
        <w:pStyle w:val="ListParagraph"/>
        <w:numPr>
          <w:ilvl w:val="1"/>
          <w:numId w:val="1"/>
        </w:numPr>
        <w:ind w:left="964" w:hanging="680"/>
        <w:contextualSpacing w:val="0"/>
      </w:pPr>
      <w:r>
        <w:t xml:space="preserve">As ICASA is aware, its MW transmitter site was severely vandalized last year resulting in RP being off-air for nearly three weeks. </w:t>
      </w:r>
    </w:p>
    <w:p w14:paraId="71FF104F" w14:textId="77777777" w:rsidR="00E02484" w:rsidRDefault="00E02484" w:rsidP="00E02484">
      <w:pPr>
        <w:pStyle w:val="ListParagraph"/>
        <w:numPr>
          <w:ilvl w:val="1"/>
          <w:numId w:val="1"/>
        </w:numPr>
        <w:ind w:left="964" w:hanging="680"/>
        <w:contextualSpacing w:val="0"/>
      </w:pPr>
      <w:r>
        <w:t xml:space="preserve">RP is of the view that penalties must be payable by Sentech (either as direct payments to broadcasting service licensees or as </w:t>
      </w:r>
      <w:proofErr w:type="gramStart"/>
      <w:r>
        <w:t>set-offs</w:t>
      </w:r>
      <w:proofErr w:type="gramEnd"/>
      <w:r>
        <w:t xml:space="preserve"> against monthly fees to Sentech payable by broadcasting service licensees) where service levels drop below those guaranteed by Sentech.</w:t>
      </w:r>
    </w:p>
    <w:p w14:paraId="6121A939" w14:textId="77777777" w:rsidR="00E02484" w:rsidRDefault="00E02484" w:rsidP="00E02484">
      <w:pPr>
        <w:pStyle w:val="ListParagraph"/>
        <w:numPr>
          <w:ilvl w:val="1"/>
          <w:numId w:val="1"/>
        </w:numPr>
        <w:ind w:left="964" w:hanging="680"/>
        <w:contextualSpacing w:val="0"/>
      </w:pPr>
      <w:r>
        <w:lastRenderedPageBreak/>
        <w:t>Further, paragraph 5 does not even mention “service level guarantees” despite these having been part of draft regulation 8(b)(vi) in the previous iteration of the Draft Regulations published in 2005.</w:t>
      </w:r>
    </w:p>
    <w:p w14:paraId="6365D9BB" w14:textId="77777777" w:rsidR="00E02484" w:rsidRDefault="00E02484" w:rsidP="00E02484">
      <w:pPr>
        <w:pStyle w:val="ListParagraph"/>
        <w:numPr>
          <w:ilvl w:val="1"/>
          <w:numId w:val="1"/>
        </w:numPr>
        <w:ind w:left="964" w:hanging="680"/>
        <w:contextualSpacing w:val="0"/>
      </w:pPr>
      <w:r>
        <w:t xml:space="preserve">It is vital that paragraph 5 be amended to refer to both service level guarantees and penalties for non-compliance therewith. </w:t>
      </w:r>
    </w:p>
    <w:p w14:paraId="555EB599" w14:textId="77777777" w:rsidR="00E02484" w:rsidRDefault="00E02484" w:rsidP="00E02484">
      <w:pPr>
        <w:pStyle w:val="ListParagraph"/>
        <w:numPr>
          <w:ilvl w:val="0"/>
          <w:numId w:val="1"/>
        </w:numPr>
        <w:contextualSpacing w:val="0"/>
      </w:pPr>
      <w:r>
        <w:t xml:space="preserve">RP thanks ICASA for the opportunity to make these written submissions. </w:t>
      </w:r>
    </w:p>
    <w:p w14:paraId="2D69802E" w14:textId="77777777" w:rsidR="00E02484" w:rsidRDefault="00E02484" w:rsidP="00E02484">
      <w:r w:rsidRPr="00330E27">
        <w:t>We</w:t>
      </w:r>
      <w:r>
        <w:t xml:space="preserve"> trust that you find the above to be in order. Please do not hesitate to contact us should you have any queries or require any further information. </w:t>
      </w:r>
    </w:p>
    <w:p w14:paraId="43673722" w14:textId="6EDD489F" w:rsidR="00E02484" w:rsidRDefault="00E02484" w:rsidP="00E02484"/>
    <w:p w14:paraId="34C9A1DA" w14:textId="3A37DEBE" w:rsidR="00E02484" w:rsidRPr="00E02484" w:rsidRDefault="00E02484" w:rsidP="00E02484">
      <w:pPr>
        <w:rPr>
          <w:b/>
          <w:bCs/>
        </w:rPr>
      </w:pPr>
      <w:r w:rsidRPr="00E02484">
        <w:rPr>
          <w:b/>
          <w:noProof/>
        </w:rPr>
        <w:drawing>
          <wp:anchor distT="0" distB="0" distL="114300" distR="114300" simplePos="0" relativeHeight="251659264" behindDoc="1" locked="0" layoutInCell="1" allowOverlap="1" wp14:anchorId="04365E3B" wp14:editId="5A1FDA09">
            <wp:simplePos x="0" y="0"/>
            <wp:positionH relativeFrom="column">
              <wp:posOffset>-69215</wp:posOffset>
            </wp:positionH>
            <wp:positionV relativeFrom="paragraph">
              <wp:posOffset>162560</wp:posOffset>
            </wp:positionV>
            <wp:extent cx="2157095" cy="828675"/>
            <wp:effectExtent l="0" t="0" r="0" b="9525"/>
            <wp:wrapNone/>
            <wp:docPr id="909044390" name="Picture 2" descr="A black background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lin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7095" cy="828675"/>
                    </a:xfrm>
                    <a:prstGeom prst="rect">
                      <a:avLst/>
                    </a:prstGeom>
                    <a:noFill/>
                  </pic:spPr>
                </pic:pic>
              </a:graphicData>
            </a:graphic>
            <wp14:sizeRelH relativeFrom="page">
              <wp14:pctWidth>0</wp14:pctWidth>
            </wp14:sizeRelH>
            <wp14:sizeRelV relativeFrom="page">
              <wp14:pctHeight>0</wp14:pctHeight>
            </wp14:sizeRelV>
          </wp:anchor>
        </w:drawing>
      </w:r>
      <w:r w:rsidRPr="00E02484">
        <w:rPr>
          <w:b/>
          <w:bCs/>
        </w:rPr>
        <w:t>Yours Sincerely</w:t>
      </w:r>
    </w:p>
    <w:p w14:paraId="74AF281E" w14:textId="77777777" w:rsidR="00E02484" w:rsidRDefault="00E02484" w:rsidP="00E02484">
      <w:pPr>
        <w:spacing w:after="120"/>
        <w:rPr>
          <w:b/>
          <w:bCs/>
        </w:rPr>
      </w:pPr>
    </w:p>
    <w:p w14:paraId="4CD8FED9" w14:textId="77777777" w:rsidR="00E02484" w:rsidRDefault="00E02484" w:rsidP="00E02484">
      <w:pPr>
        <w:spacing w:after="120"/>
        <w:rPr>
          <w:b/>
          <w:bCs/>
        </w:rPr>
      </w:pPr>
    </w:p>
    <w:p w14:paraId="16637A84" w14:textId="7EA2F68A" w:rsidR="00AA42EA" w:rsidRDefault="00E02484" w:rsidP="00E02484">
      <w:pPr>
        <w:spacing w:after="0"/>
        <w:rPr>
          <w:b/>
          <w:bCs/>
        </w:rPr>
      </w:pPr>
      <w:r w:rsidRPr="00E02484">
        <w:rPr>
          <w:b/>
          <w:bCs/>
        </w:rPr>
        <w:t>Rev. Karel Verhoef</w:t>
      </w:r>
    </w:p>
    <w:p w14:paraId="01A21976" w14:textId="776F8EEF" w:rsidR="00E02484" w:rsidRPr="00E02484" w:rsidRDefault="00B37B39" w:rsidP="00E02484">
      <w:pPr>
        <w:spacing w:after="0"/>
      </w:pPr>
      <w:r>
        <w:rPr>
          <w:b/>
          <w:bCs/>
        </w:rPr>
        <w:t xml:space="preserve">CEO : </w:t>
      </w:r>
      <w:r w:rsidR="00E02484">
        <w:rPr>
          <w:b/>
          <w:bCs/>
        </w:rPr>
        <w:t>Radio Pulpit</w:t>
      </w:r>
    </w:p>
    <w:sectPr w:rsidR="00E02484" w:rsidRPr="00E02484" w:rsidSect="00AA42EA">
      <w:headerReference w:type="default" r:id="rId12"/>
      <w:footerReference w:type="default" r:id="rId13"/>
      <w:headerReference w:type="first" r:id="rId14"/>
      <w:footerReference w:type="first" r:id="rId15"/>
      <w:pgSz w:w="11906" w:h="16838"/>
      <w:pgMar w:top="1440" w:right="1440" w:bottom="1440" w:left="709"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AA52" w14:textId="77777777" w:rsidR="00B649CA" w:rsidRDefault="00B649CA" w:rsidP="00243180">
      <w:pPr>
        <w:spacing w:after="0" w:line="240" w:lineRule="auto"/>
      </w:pPr>
      <w:r>
        <w:separator/>
      </w:r>
    </w:p>
  </w:endnote>
  <w:endnote w:type="continuationSeparator" w:id="0">
    <w:p w14:paraId="752F70EC" w14:textId="77777777" w:rsidR="00B649CA" w:rsidRDefault="00B649CA" w:rsidP="0024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042694"/>
      <w:docPartObj>
        <w:docPartGallery w:val="Page Numbers (Bottom of Page)"/>
        <w:docPartUnique/>
      </w:docPartObj>
    </w:sdtPr>
    <w:sdtEndPr>
      <w:rPr>
        <w:color w:val="7F7F7F" w:themeColor="background1" w:themeShade="7F"/>
        <w:spacing w:val="60"/>
      </w:rPr>
    </w:sdtEndPr>
    <w:sdtContent>
      <w:p w14:paraId="687E6FD4" w14:textId="1CC59EB9" w:rsidR="00184A23" w:rsidRDefault="00184A2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2F83FCF" w14:textId="77777777" w:rsidR="00AA42EA" w:rsidRDefault="00AA4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5A0A" w14:textId="77777777" w:rsidR="005E1989" w:rsidRDefault="005E1989" w:rsidP="00243180">
    <w:pPr>
      <w:pStyle w:val="Footer"/>
      <w:rPr>
        <w:noProof/>
      </w:rPr>
    </w:pPr>
  </w:p>
  <w:p w14:paraId="0D282445" w14:textId="6DF867C8" w:rsidR="00243180" w:rsidRDefault="005E1989" w:rsidP="00243180">
    <w:pPr>
      <w:pStyle w:val="Footer"/>
    </w:pPr>
    <w:r>
      <w:rPr>
        <w:noProof/>
      </w:rPr>
      <w:drawing>
        <wp:inline distT="0" distB="0" distL="0" distR="0" wp14:anchorId="5E9F4097" wp14:editId="67100E10">
          <wp:extent cx="6783218"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rotWithShape="1">
                  <a:blip r:embed="rId1">
                    <a:extLst>
                      <a:ext uri="{28A0092B-C50C-407E-A947-70E740481C1C}">
                        <a14:useLocalDpi xmlns:a14="http://schemas.microsoft.com/office/drawing/2010/main" val="0"/>
                      </a:ext>
                    </a:extLst>
                  </a:blip>
                  <a:srcRect t="28100" b="20161"/>
                  <a:stretch/>
                </pic:blipFill>
                <pic:spPr bwMode="auto">
                  <a:xfrm>
                    <a:off x="0" y="0"/>
                    <a:ext cx="6783218" cy="1209675"/>
                  </a:xfrm>
                  <a:prstGeom prst="rect">
                    <a:avLst/>
                  </a:prstGeom>
                  <a:ln>
                    <a:noFill/>
                  </a:ln>
                  <a:extLst>
                    <a:ext uri="{53640926-AAD7-44D8-BBD7-CCE9431645EC}">
                      <a14:shadowObscured xmlns:a14="http://schemas.microsoft.com/office/drawing/2010/main"/>
                    </a:ext>
                  </a:extLst>
                </pic:spPr>
              </pic:pic>
            </a:graphicData>
          </a:graphic>
        </wp:inline>
      </w:drawing>
    </w:r>
    <w:r w:rsidR="0024318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F522" w14:textId="77777777" w:rsidR="00B649CA" w:rsidRDefault="00B649CA" w:rsidP="00243180">
      <w:pPr>
        <w:spacing w:after="0" w:line="240" w:lineRule="auto"/>
      </w:pPr>
      <w:r>
        <w:separator/>
      </w:r>
    </w:p>
  </w:footnote>
  <w:footnote w:type="continuationSeparator" w:id="0">
    <w:p w14:paraId="48A89398" w14:textId="77777777" w:rsidR="00B649CA" w:rsidRDefault="00B649CA" w:rsidP="00243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1897" w14:textId="77777777" w:rsidR="00243180" w:rsidRDefault="00243180">
    <w:pPr>
      <w:pStyle w:val="Header"/>
    </w:pPr>
  </w:p>
  <w:p w14:paraId="69B44F51" w14:textId="77777777" w:rsidR="00243180" w:rsidRDefault="00243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2983" w14:textId="77777777" w:rsidR="00243180" w:rsidRDefault="00736FCE" w:rsidP="00243180">
    <w:pPr>
      <w:pStyle w:val="Header"/>
      <w:ind w:left="-709" w:firstLine="709"/>
    </w:pPr>
    <w:r>
      <w:rPr>
        <w:noProof/>
      </w:rPr>
      <w:drawing>
        <wp:inline distT="0" distB="0" distL="0" distR="0" wp14:anchorId="6E9DBDC1" wp14:editId="348590AC">
          <wp:extent cx="6743700" cy="98384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rotWithShape="1">
                  <a:blip r:embed="rId1">
                    <a:extLst>
                      <a:ext uri="{28A0092B-C50C-407E-A947-70E740481C1C}">
                        <a14:useLocalDpi xmlns:a14="http://schemas.microsoft.com/office/drawing/2010/main" val="0"/>
                      </a:ext>
                    </a:extLst>
                  </a:blip>
                  <a:srcRect l="3052" t="25402" b="33600"/>
                  <a:stretch/>
                </pic:blipFill>
                <pic:spPr bwMode="auto">
                  <a:xfrm>
                    <a:off x="0" y="0"/>
                    <a:ext cx="6984717" cy="101900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C2C4C"/>
    <w:multiLevelType w:val="hybridMultilevel"/>
    <w:tmpl w:val="255ED306"/>
    <w:lvl w:ilvl="0" w:tplc="1C09000F">
      <w:start w:val="1"/>
      <w:numFmt w:val="decimal"/>
      <w:lvlText w:val="%1."/>
      <w:lvlJc w:val="left"/>
      <w:pPr>
        <w:ind w:left="644" w:hanging="360"/>
      </w:pPr>
    </w:lvl>
    <w:lvl w:ilvl="1" w:tplc="1C090019">
      <w:start w:val="1"/>
      <w:numFmt w:val="lowerLetter"/>
      <w:lvlText w:val="%2."/>
      <w:lvlJc w:val="left"/>
      <w:pPr>
        <w:ind w:left="1364" w:hanging="360"/>
      </w:pPr>
    </w:lvl>
    <w:lvl w:ilvl="2" w:tplc="1C09001B">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num w:numId="1" w16cid:durableId="3709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80"/>
    <w:rsid w:val="0009127B"/>
    <w:rsid w:val="00140046"/>
    <w:rsid w:val="00184A23"/>
    <w:rsid w:val="001D5916"/>
    <w:rsid w:val="00243180"/>
    <w:rsid w:val="00295BBD"/>
    <w:rsid w:val="002F2D90"/>
    <w:rsid w:val="00530937"/>
    <w:rsid w:val="005D6B18"/>
    <w:rsid w:val="005E1989"/>
    <w:rsid w:val="006C4C23"/>
    <w:rsid w:val="00736FCE"/>
    <w:rsid w:val="007628E9"/>
    <w:rsid w:val="00835B0D"/>
    <w:rsid w:val="00896B9D"/>
    <w:rsid w:val="008E6FC1"/>
    <w:rsid w:val="00905DF6"/>
    <w:rsid w:val="00942D20"/>
    <w:rsid w:val="009645DA"/>
    <w:rsid w:val="00AA42EA"/>
    <w:rsid w:val="00B37B39"/>
    <w:rsid w:val="00B649CA"/>
    <w:rsid w:val="00D21634"/>
    <w:rsid w:val="00E02484"/>
    <w:rsid w:val="00E554FE"/>
    <w:rsid w:val="00E61A7E"/>
    <w:rsid w:val="00F765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B291"/>
  <w15:chartTrackingRefBased/>
  <w15:docId w15:val="{D606551B-A0CF-46A7-9E96-37F5C658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180"/>
  </w:style>
  <w:style w:type="paragraph" w:styleId="Footer">
    <w:name w:val="footer"/>
    <w:basedOn w:val="Normal"/>
    <w:link w:val="FooterChar"/>
    <w:uiPriority w:val="99"/>
    <w:unhideWhenUsed/>
    <w:rsid w:val="00243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180"/>
  </w:style>
  <w:style w:type="paragraph" w:styleId="ListParagraph">
    <w:name w:val="List Paragraph"/>
    <w:basedOn w:val="Normal"/>
    <w:uiPriority w:val="34"/>
    <w:qFormat/>
    <w:rsid w:val="00E02484"/>
    <w:pPr>
      <w:spacing w:after="240" w:line="360" w:lineRule="auto"/>
      <w:ind w:left="720"/>
      <w:contextualSpacing/>
      <w:jc w:val="both"/>
    </w:pPr>
    <w:rPr>
      <w:sz w:val="20"/>
      <w:szCs w:val="24"/>
    </w:rPr>
  </w:style>
  <w:style w:type="character" w:styleId="CommentReference">
    <w:name w:val="annotation reference"/>
    <w:basedOn w:val="DefaultParagraphFont"/>
    <w:uiPriority w:val="99"/>
    <w:semiHidden/>
    <w:unhideWhenUsed/>
    <w:rsid w:val="00E02484"/>
    <w:rPr>
      <w:sz w:val="16"/>
      <w:szCs w:val="16"/>
    </w:rPr>
  </w:style>
  <w:style w:type="paragraph" w:styleId="CommentText">
    <w:name w:val="annotation text"/>
    <w:basedOn w:val="Normal"/>
    <w:link w:val="CommentTextChar"/>
    <w:uiPriority w:val="99"/>
    <w:unhideWhenUsed/>
    <w:rsid w:val="00E02484"/>
    <w:pPr>
      <w:spacing w:after="240" w:line="240" w:lineRule="auto"/>
      <w:jc w:val="both"/>
    </w:pPr>
    <w:rPr>
      <w:sz w:val="20"/>
      <w:szCs w:val="20"/>
    </w:rPr>
  </w:style>
  <w:style w:type="character" w:customStyle="1" w:styleId="CommentTextChar">
    <w:name w:val="Comment Text Char"/>
    <w:basedOn w:val="DefaultParagraphFont"/>
    <w:link w:val="CommentText"/>
    <w:uiPriority w:val="99"/>
    <w:rsid w:val="00E024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130225b-2492-4be8-8e74-ec91efa697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74553A88D33540A5DAA51DBBE32E0C" ma:contentTypeVersion="15" ma:contentTypeDescription="Create a new document." ma:contentTypeScope="" ma:versionID="19470b61a5c0208c39eca36a15810066">
  <xsd:schema xmlns:xsd="http://www.w3.org/2001/XMLSchema" xmlns:xs="http://www.w3.org/2001/XMLSchema" xmlns:p="http://schemas.microsoft.com/office/2006/metadata/properties" xmlns:ns3="8130225b-2492-4be8-8e74-ec91efa69734" targetNamespace="http://schemas.microsoft.com/office/2006/metadata/properties" ma:root="true" ma:fieldsID="7094bb4dc9fbb7b32e52313ea5a1c93a" ns3:_="">
    <xsd:import namespace="8130225b-2492-4be8-8e74-ec91efa697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0225b-2492-4be8-8e74-ec91efa69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F0B00-897F-409A-B816-C861A2926687}">
  <ds:schemaRefs>
    <ds:schemaRef ds:uri="http://schemas.openxmlformats.org/officeDocument/2006/bibliography"/>
  </ds:schemaRefs>
</ds:datastoreItem>
</file>

<file path=customXml/itemProps2.xml><?xml version="1.0" encoding="utf-8"?>
<ds:datastoreItem xmlns:ds="http://schemas.openxmlformats.org/officeDocument/2006/customXml" ds:itemID="{410A6590-2651-4F9F-861E-4A79088468F2}">
  <ds:schemaRefs>
    <ds:schemaRef ds:uri="http://schemas.microsoft.com/office/2006/metadata/properties"/>
    <ds:schemaRef ds:uri="http://schemas.microsoft.com/office/infopath/2007/PartnerControls"/>
    <ds:schemaRef ds:uri="8130225b-2492-4be8-8e74-ec91efa69734"/>
  </ds:schemaRefs>
</ds:datastoreItem>
</file>

<file path=customXml/itemProps3.xml><?xml version="1.0" encoding="utf-8"?>
<ds:datastoreItem xmlns:ds="http://schemas.openxmlformats.org/officeDocument/2006/customXml" ds:itemID="{4B61C372-6440-4C10-B7B0-A9655F6ECC30}">
  <ds:schemaRefs>
    <ds:schemaRef ds:uri="http://schemas.microsoft.com/sharepoint/v3/contenttype/forms"/>
  </ds:schemaRefs>
</ds:datastoreItem>
</file>

<file path=customXml/itemProps4.xml><?xml version="1.0" encoding="utf-8"?>
<ds:datastoreItem xmlns:ds="http://schemas.openxmlformats.org/officeDocument/2006/customXml" ds:itemID="{F3AA54C9-734C-44B9-98C8-6DD1AEF57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0225b-2492-4be8-8e74-ec91efa69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3850</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van Zyl</dc:creator>
  <cp:keywords/>
  <dc:description/>
  <cp:lastModifiedBy>Nomatshetshi Matolweni</cp:lastModifiedBy>
  <cp:revision>4</cp:revision>
  <cp:lastPrinted>2025-02-27T10:53:00Z</cp:lastPrinted>
  <dcterms:created xsi:type="dcterms:W3CDTF">2026-02-27T11:23:00Z</dcterms:created>
  <dcterms:modified xsi:type="dcterms:W3CDTF">2026-03-04T11:47:00Z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0x010100E174553A88D33540A5DAA51DBBE32E0C</vt:lpwstr>
  </property>
</Properties>
</file>