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39491" w14:textId="77777777" w:rsidR="007D0F42" w:rsidRPr="000A5E3A" w:rsidRDefault="007D0F42" w:rsidP="007D0F42">
      <w:pPr>
        <w:spacing w:after="160" w:line="259" w:lineRule="auto"/>
        <w:jc w:val="center"/>
        <w:rPr>
          <w:rFonts w:ascii="Arial" w:eastAsia="Calibri" w:hAnsi="Arial" w:cs="Arial"/>
          <w:sz w:val="28"/>
          <w:szCs w:val="28"/>
          <w:lang w:eastAsia="en-US"/>
        </w:rPr>
      </w:pPr>
    </w:p>
    <w:p w14:paraId="320599EA" w14:textId="3015969B" w:rsidR="007D0F42" w:rsidRPr="000A5E3A" w:rsidRDefault="007D0F42" w:rsidP="00BB3BDD">
      <w:pPr>
        <w:spacing w:after="160" w:line="259" w:lineRule="auto"/>
        <w:jc w:val="both"/>
        <w:rPr>
          <w:rFonts w:ascii="Arial" w:eastAsia="Calibri" w:hAnsi="Arial" w:cs="Arial"/>
          <w:b/>
          <w:bCs/>
          <w:sz w:val="28"/>
          <w:szCs w:val="28"/>
          <w:lang w:eastAsia="en-US"/>
        </w:rPr>
      </w:pPr>
      <w:r w:rsidRPr="000A5E3A">
        <w:rPr>
          <w:rFonts w:ascii="Arial" w:eastAsia="Calibri" w:hAnsi="Arial" w:cs="Arial"/>
          <w:b/>
          <w:bCs/>
          <w:sz w:val="28"/>
          <w:szCs w:val="28"/>
          <w:lang w:eastAsia="en-US"/>
        </w:rPr>
        <w:t xml:space="preserve">Huawei complementary submission to the ICASA </w:t>
      </w:r>
      <w:r w:rsidR="00BB3BDD" w:rsidRPr="000A5E3A">
        <w:rPr>
          <w:rFonts w:ascii="Arial" w:eastAsia="Calibri" w:hAnsi="Arial" w:cs="Arial"/>
          <w:b/>
          <w:bCs/>
          <w:sz w:val="28"/>
          <w:szCs w:val="28"/>
          <w:lang w:eastAsia="en-US"/>
        </w:rPr>
        <w:t>National Radio Frequency Plan (NRFP) 2025</w:t>
      </w:r>
    </w:p>
    <w:p w14:paraId="142E214B" w14:textId="6D0638F1" w:rsidR="00BB3BDD" w:rsidRPr="000A5E3A" w:rsidRDefault="00BB3BDD" w:rsidP="00BB3BDD">
      <w:pPr>
        <w:spacing w:after="160" w:line="259" w:lineRule="auto"/>
        <w:rPr>
          <w:rFonts w:ascii="Arial" w:eastAsia="Calibri" w:hAnsi="Arial" w:cs="Arial"/>
          <w:b/>
          <w:sz w:val="22"/>
          <w:szCs w:val="22"/>
          <w:lang w:eastAsia="en-US"/>
        </w:rPr>
      </w:pPr>
    </w:p>
    <w:p w14:paraId="3DDFD200" w14:textId="24686400" w:rsidR="00BB3BDD" w:rsidRPr="000A5E3A" w:rsidRDefault="00543462" w:rsidP="00BB3BDD">
      <w:pPr>
        <w:rPr>
          <w:rFonts w:ascii="Arial" w:eastAsia="Times New Roman" w:hAnsi="Arial" w:cs="Arial"/>
          <w:b/>
          <w:color w:val="FF0000"/>
        </w:rPr>
      </w:pPr>
      <w:bookmarkStart w:id="0" w:name="_Hlk220317811"/>
      <w:r w:rsidRPr="000A5E3A">
        <w:rPr>
          <w:rFonts w:ascii="Arial" w:eastAsia="Times New Roman" w:hAnsi="Arial" w:cs="Arial"/>
          <w:b/>
          <w:color w:val="FF0000"/>
        </w:rPr>
        <w:t xml:space="preserve">ICASA </w:t>
      </w:r>
      <w:r w:rsidR="00BB3BDD" w:rsidRPr="000A5E3A">
        <w:rPr>
          <w:rFonts w:ascii="Arial" w:eastAsia="Times New Roman" w:hAnsi="Arial" w:cs="Arial"/>
          <w:b/>
          <w:color w:val="FF0000"/>
        </w:rPr>
        <w:t>Question 1:</w:t>
      </w:r>
      <w:r w:rsidR="00BB3BDD" w:rsidRPr="000A5E3A">
        <w:rPr>
          <w:rFonts w:ascii="Arial" w:eastAsia="Times New Roman" w:hAnsi="Arial" w:cs="Arial"/>
          <w:b/>
          <w:color w:val="FF0000"/>
        </w:rPr>
        <w:tab/>
        <w:t>Spectrum Allocation for Critical Infrastructure</w:t>
      </w:r>
    </w:p>
    <w:p w14:paraId="4E882676" w14:textId="77777777" w:rsidR="00BB3BDD" w:rsidRPr="000A5E3A" w:rsidRDefault="00BB3BDD" w:rsidP="00BB3BDD">
      <w:pPr>
        <w:rPr>
          <w:rFonts w:ascii="Arial" w:eastAsia="Times New Roman" w:hAnsi="Arial" w:cs="Arial"/>
        </w:rPr>
      </w:pPr>
      <w:r w:rsidRPr="000A5E3A">
        <w:rPr>
          <w:rFonts w:ascii="Arial" w:eastAsia="Times New Roman" w:hAnsi="Arial" w:cs="Arial"/>
        </w:rPr>
        <w:t>Which frequency bands are most technically and operationally suitable for deployment across both the Power Distribution Network and the Future Railway Mobile Communication System (FRMCS) in South Africa, considering propagation, interference risk, and international harmonization?</w:t>
      </w:r>
    </w:p>
    <w:bookmarkEnd w:id="0"/>
    <w:p w14:paraId="58385C40" w14:textId="7700F1FB" w:rsidR="00BB3BDD" w:rsidRPr="000A5E3A" w:rsidRDefault="00BB3BDD" w:rsidP="00BB3BDD">
      <w:pPr>
        <w:rPr>
          <w:rFonts w:ascii="Arial" w:eastAsia="Times New Roman" w:hAnsi="Arial" w:cs="Arial"/>
        </w:rPr>
      </w:pPr>
    </w:p>
    <w:p w14:paraId="33EFB60B" w14:textId="77777777" w:rsidR="00543462" w:rsidRPr="000A5E3A" w:rsidRDefault="00543462" w:rsidP="00543462">
      <w:pPr>
        <w:rPr>
          <w:rFonts w:ascii="Arial" w:eastAsia="Times New Roman" w:hAnsi="Arial" w:cs="Arial"/>
          <w:b/>
        </w:rPr>
      </w:pPr>
      <w:r w:rsidRPr="000A5E3A">
        <w:rPr>
          <w:rFonts w:ascii="Arial" w:eastAsia="Times New Roman" w:hAnsi="Arial" w:cs="Arial"/>
          <w:b/>
        </w:rPr>
        <w:t>Huawei Response</w:t>
      </w:r>
    </w:p>
    <w:p w14:paraId="4E58F451" w14:textId="77777777" w:rsidR="00B3790C" w:rsidRPr="000A5E3A" w:rsidRDefault="00B3790C" w:rsidP="00B3790C">
      <w:pPr>
        <w:pStyle w:val="ListParagraph"/>
        <w:numPr>
          <w:ilvl w:val="0"/>
          <w:numId w:val="14"/>
        </w:numPr>
        <w:ind w:firstLineChars="0"/>
        <w:contextualSpacing/>
        <w:rPr>
          <w:rFonts w:ascii="Arial" w:eastAsia="Times New Roman" w:hAnsi="Arial" w:cs="Arial"/>
          <w:b/>
        </w:rPr>
      </w:pPr>
      <w:bookmarkStart w:id="1" w:name="_Hlk220313529"/>
      <w:r w:rsidRPr="000A5E3A">
        <w:rPr>
          <w:rFonts w:ascii="Arial" w:eastAsia="Times New Roman" w:hAnsi="Arial" w:cs="Arial"/>
          <w:b/>
        </w:rPr>
        <w:t xml:space="preserve">The Future Railway Mobile Communication System (FRMCS) </w:t>
      </w:r>
    </w:p>
    <w:bookmarkEnd w:id="1"/>
    <w:p w14:paraId="13AECC98" w14:textId="77777777" w:rsidR="008E75F8" w:rsidRPr="000A5E3A" w:rsidRDefault="008E75F8" w:rsidP="008E75F8">
      <w:pPr>
        <w:pStyle w:val="ListParagraph"/>
        <w:ind w:left="360" w:firstLineChars="0" w:firstLine="0"/>
        <w:rPr>
          <w:rFonts w:ascii="Arial" w:hAnsi="Arial" w:cs="Arial"/>
          <w:lang w:eastAsia="zh-CN"/>
        </w:rPr>
      </w:pPr>
      <w:r w:rsidRPr="000A5E3A">
        <w:rPr>
          <w:rFonts w:ascii="Arial" w:hAnsi="Arial" w:cs="Arial"/>
          <w:lang w:eastAsia="zh-CN"/>
        </w:rPr>
        <w:t>The 1.9 GHz band is also recognized under EU Decision 2021/1730 for railway applications. UIC recommends it for FRMCS deployments, leveraging the mature Band 39 ecosystem to enable rapid commercialization. Advanced features such as multi-antenna technology and high-power terminal design enhance coverage, making performance comparable to lower-frequency bands. A notable global example is Malaysia’s ECRL project, which successfully deployed FRMCS using 1.9 GHz.</w:t>
      </w:r>
    </w:p>
    <w:p w14:paraId="22C36AAA" w14:textId="4818F097" w:rsidR="00BB3BDD" w:rsidRPr="000A5E3A" w:rsidRDefault="00BB3BDD" w:rsidP="00BB3BDD">
      <w:pPr>
        <w:spacing w:after="160" w:line="259" w:lineRule="auto"/>
        <w:rPr>
          <w:rFonts w:ascii="Arial" w:eastAsia="Calibri" w:hAnsi="Arial" w:cs="Arial"/>
          <w:b/>
          <w:sz w:val="22"/>
          <w:szCs w:val="22"/>
          <w:lang w:eastAsia="en-US"/>
        </w:rPr>
      </w:pPr>
    </w:p>
    <w:p w14:paraId="50DCB579" w14:textId="77777777" w:rsidR="008E75F8" w:rsidRPr="000A5E3A" w:rsidRDefault="008E75F8" w:rsidP="008E75F8">
      <w:pPr>
        <w:pStyle w:val="ListParagraph"/>
        <w:numPr>
          <w:ilvl w:val="0"/>
          <w:numId w:val="14"/>
        </w:numPr>
        <w:ind w:firstLineChars="0"/>
        <w:contextualSpacing/>
        <w:rPr>
          <w:rFonts w:ascii="Arial" w:eastAsia="Times New Roman" w:hAnsi="Arial" w:cs="Arial"/>
          <w:b/>
        </w:rPr>
      </w:pPr>
      <w:r w:rsidRPr="000A5E3A">
        <w:rPr>
          <w:rFonts w:ascii="Arial" w:eastAsia="Times New Roman" w:hAnsi="Arial" w:cs="Arial"/>
          <w:b/>
        </w:rPr>
        <w:t xml:space="preserve">Power Distribution Networks: </w:t>
      </w:r>
    </w:p>
    <w:p w14:paraId="3E2ABB99" w14:textId="1DBA5B31" w:rsidR="008E75F8" w:rsidRPr="000A5E3A" w:rsidRDefault="008E75F8" w:rsidP="008E75F8">
      <w:pPr>
        <w:ind w:left="360"/>
        <w:rPr>
          <w:rFonts w:ascii="Arial" w:hAnsi="Arial" w:cs="Arial"/>
        </w:rPr>
      </w:pPr>
      <w:r w:rsidRPr="000A5E3A">
        <w:rPr>
          <w:rFonts w:ascii="Arial" w:hAnsi="Arial" w:cs="Arial"/>
        </w:rPr>
        <w:t xml:space="preserve">Unlike railways, there is no globally standardized spectrum for the power industry. Spectrum selection is country-specific. In South Africa, </w:t>
      </w:r>
      <w:r w:rsidR="00A96643" w:rsidRPr="000A5E3A">
        <w:rPr>
          <w:rFonts w:ascii="Arial" w:hAnsi="Arial" w:cs="Arial"/>
        </w:rPr>
        <w:t xml:space="preserve">the lower frequency </w:t>
      </w:r>
      <w:r w:rsidRPr="000A5E3A">
        <w:rPr>
          <w:rFonts w:ascii="Arial" w:hAnsi="Arial" w:cs="Arial"/>
        </w:rPr>
        <w:t>bands are recommended due to their strong coverage, lower interference risks, and proven success in private wireless deployments worldwide. These bands provide a pragmatic foundation for reliable, interference-resilient communications in energy networks.</w:t>
      </w:r>
    </w:p>
    <w:p w14:paraId="3FB4D83D" w14:textId="77777777" w:rsidR="002C571B" w:rsidRPr="000A5E3A" w:rsidRDefault="002C571B" w:rsidP="008E75F8">
      <w:pPr>
        <w:ind w:left="360"/>
        <w:rPr>
          <w:rFonts w:ascii="Arial" w:hAnsi="Arial" w:cs="Arial"/>
        </w:rPr>
      </w:pPr>
    </w:p>
    <w:p w14:paraId="583240B6" w14:textId="4DB7E68A" w:rsidR="00FE4E98" w:rsidRPr="000A5E3A" w:rsidRDefault="00543462" w:rsidP="00FE4E98">
      <w:pPr>
        <w:rPr>
          <w:rFonts w:ascii="Arial" w:eastAsia="Times New Roman" w:hAnsi="Arial" w:cs="Arial"/>
          <w:b/>
          <w:color w:val="FF0000"/>
        </w:rPr>
      </w:pPr>
      <w:bookmarkStart w:id="2" w:name="_Hlk220318347"/>
      <w:bookmarkStart w:id="3" w:name="_Hlk220318058"/>
      <w:r w:rsidRPr="000A5E3A">
        <w:rPr>
          <w:rFonts w:ascii="Arial" w:eastAsia="Times New Roman" w:hAnsi="Arial" w:cs="Arial"/>
          <w:b/>
          <w:color w:val="FF0000"/>
        </w:rPr>
        <w:t xml:space="preserve">ICASA </w:t>
      </w:r>
      <w:r w:rsidR="00FE4E98" w:rsidRPr="000A5E3A">
        <w:rPr>
          <w:rFonts w:ascii="Arial" w:eastAsia="Times New Roman" w:hAnsi="Arial" w:cs="Arial"/>
          <w:b/>
          <w:color w:val="FF0000"/>
        </w:rPr>
        <w:t>Question 2:</w:t>
      </w:r>
      <w:r w:rsidR="00FE4E98" w:rsidRPr="000A5E3A">
        <w:rPr>
          <w:rFonts w:ascii="Arial" w:eastAsia="Times New Roman" w:hAnsi="Arial" w:cs="Arial"/>
          <w:b/>
          <w:color w:val="FF0000"/>
        </w:rPr>
        <w:tab/>
        <w:t>Shared Spectrum Mechanisms for FRMCS</w:t>
      </w:r>
    </w:p>
    <w:p w14:paraId="1AE97B02" w14:textId="77777777" w:rsidR="00FE4E98" w:rsidRPr="000A5E3A" w:rsidRDefault="00FE4E98" w:rsidP="00FE4E98">
      <w:pPr>
        <w:rPr>
          <w:rFonts w:ascii="Arial" w:eastAsia="Times New Roman" w:hAnsi="Arial" w:cs="Arial"/>
        </w:rPr>
      </w:pPr>
      <w:r w:rsidRPr="000A5E3A">
        <w:rPr>
          <w:rFonts w:ascii="Arial" w:eastAsia="Times New Roman" w:hAnsi="Arial" w:cs="Arial"/>
        </w:rPr>
        <w:t>What spectrum</w:t>
      </w:r>
      <w:r w:rsidRPr="000A5E3A">
        <w:rPr>
          <w:rFonts w:ascii="Arial" w:eastAsia="Times New Roman" w:hAnsi="Arial" w:cs="Arial"/>
        </w:rPr>
        <w:noBreakHyphen/>
        <w:t>sharing mechanism has Huawei proposed for FRMCS, and how would this approach optimize utilization while safeguarding mission</w:t>
      </w:r>
      <w:r w:rsidRPr="000A5E3A">
        <w:rPr>
          <w:rFonts w:ascii="Arial" w:eastAsia="Times New Roman" w:hAnsi="Arial" w:cs="Arial"/>
        </w:rPr>
        <w:noBreakHyphen/>
        <w:t>critical railway communications?</w:t>
      </w:r>
    </w:p>
    <w:bookmarkEnd w:id="2"/>
    <w:p w14:paraId="0A20BCFE" w14:textId="77777777" w:rsidR="00FE4E98" w:rsidRPr="000A5E3A" w:rsidRDefault="00FE4E98" w:rsidP="00FE4E98">
      <w:pPr>
        <w:rPr>
          <w:rFonts w:ascii="Arial" w:eastAsia="Times New Roman" w:hAnsi="Arial" w:cs="Arial"/>
        </w:rPr>
      </w:pPr>
    </w:p>
    <w:p w14:paraId="24FF17C5" w14:textId="14F2ACAA" w:rsidR="00FE4E98" w:rsidRPr="000A5E3A" w:rsidRDefault="00997597" w:rsidP="00FE4E98">
      <w:pPr>
        <w:rPr>
          <w:rFonts w:ascii="Arial" w:eastAsia="Times New Roman" w:hAnsi="Arial" w:cs="Arial"/>
          <w:b/>
        </w:rPr>
      </w:pPr>
      <w:r w:rsidRPr="000A5E3A">
        <w:rPr>
          <w:rFonts w:ascii="Arial" w:eastAsia="Times New Roman" w:hAnsi="Arial" w:cs="Arial"/>
          <w:b/>
        </w:rPr>
        <w:t xml:space="preserve">Huawei </w:t>
      </w:r>
      <w:r w:rsidR="00FE4E98" w:rsidRPr="000A5E3A">
        <w:rPr>
          <w:rFonts w:ascii="Arial" w:eastAsia="Times New Roman" w:hAnsi="Arial" w:cs="Arial"/>
          <w:b/>
        </w:rPr>
        <w:t>Response</w:t>
      </w:r>
    </w:p>
    <w:p w14:paraId="797317D3" w14:textId="356EACC9" w:rsidR="00997597" w:rsidRPr="000A5E3A" w:rsidRDefault="00997597" w:rsidP="00B3790C">
      <w:pPr>
        <w:pStyle w:val="NormalWeb"/>
        <w:spacing w:before="0" w:beforeAutospacing="0" w:after="120" w:afterAutospacing="0"/>
        <w:rPr>
          <w:rFonts w:ascii="Arial" w:hAnsi="Arial" w:cs="Arial"/>
        </w:rPr>
      </w:pPr>
      <w:r w:rsidRPr="000A5E3A">
        <w:rPr>
          <w:rFonts w:ascii="Arial" w:hAnsi="Arial" w:cs="Arial"/>
        </w:rPr>
        <w:t xml:space="preserve">Sharing spectrum on the FRMCS/GSM-R bands is not recommended; </w:t>
      </w:r>
      <w:r w:rsidR="00610CE9" w:rsidRPr="000A5E3A">
        <w:rPr>
          <w:rFonts w:ascii="Arial" w:hAnsi="Arial" w:cs="Arial"/>
        </w:rPr>
        <w:t>R</w:t>
      </w:r>
      <w:r w:rsidRPr="000A5E3A">
        <w:rPr>
          <w:rFonts w:ascii="Arial" w:hAnsi="Arial" w:cs="Arial"/>
        </w:rPr>
        <w:t>ailway</w:t>
      </w:r>
      <w:r w:rsidR="00610CE9" w:rsidRPr="000A5E3A">
        <w:rPr>
          <w:rFonts w:ascii="Arial" w:hAnsi="Arial" w:cs="Arial"/>
        </w:rPr>
        <w:t>s</w:t>
      </w:r>
      <w:r w:rsidRPr="000A5E3A">
        <w:rPr>
          <w:rFonts w:ascii="Arial" w:hAnsi="Arial" w:cs="Arial"/>
        </w:rPr>
        <w:t xml:space="preserve"> communication for mission-critical services such as train control and dispatching rely on </w:t>
      </w:r>
      <w:r w:rsidRPr="000A5E3A">
        <w:rPr>
          <w:rStyle w:val="Strong"/>
          <w:rFonts w:ascii="Arial" w:hAnsi="Arial" w:cs="Arial"/>
        </w:rPr>
        <w:t>dedicated spectrum</w:t>
      </w:r>
      <w:r w:rsidRPr="000A5E3A">
        <w:rPr>
          <w:rFonts w:ascii="Arial" w:hAnsi="Arial" w:cs="Arial"/>
        </w:rPr>
        <w:t xml:space="preserve"> to ensure safety and reliability. Railway communications </w:t>
      </w:r>
      <w:r w:rsidR="00610CE9" w:rsidRPr="000A5E3A">
        <w:rPr>
          <w:rFonts w:ascii="Arial" w:hAnsi="Arial" w:cs="Arial"/>
        </w:rPr>
        <w:t>require</w:t>
      </w:r>
      <w:r w:rsidRPr="000A5E3A">
        <w:rPr>
          <w:rFonts w:ascii="Arial" w:hAnsi="Arial" w:cs="Arial"/>
        </w:rPr>
        <w:t xml:space="preserve"> </w:t>
      </w:r>
      <w:r w:rsidRPr="000A5E3A">
        <w:rPr>
          <w:rStyle w:val="Strong"/>
          <w:rFonts w:ascii="Arial" w:hAnsi="Arial" w:cs="Arial"/>
        </w:rPr>
        <w:t>mission</w:t>
      </w:r>
      <w:r w:rsidRPr="000A5E3A">
        <w:rPr>
          <w:rStyle w:val="Strong"/>
          <w:rFonts w:ascii="Arial" w:hAnsi="Arial" w:cs="Arial"/>
        </w:rPr>
        <w:noBreakHyphen/>
        <w:t>critical systems</w:t>
      </w:r>
      <w:r w:rsidRPr="000A5E3A">
        <w:rPr>
          <w:rFonts w:ascii="Arial" w:hAnsi="Arial" w:cs="Arial"/>
        </w:rPr>
        <w:t xml:space="preserve"> such as signaling, train control, and emergency response, where even minor interference could directly compromise passenger safety. </w:t>
      </w:r>
      <w:r w:rsidR="00610CE9" w:rsidRPr="000A5E3A">
        <w:rPr>
          <w:rStyle w:val="Strong"/>
          <w:rFonts w:ascii="Arial" w:hAnsi="Arial" w:cs="Arial"/>
          <w:b w:val="0"/>
          <w:bCs w:val="0"/>
        </w:rPr>
        <w:t>S</w:t>
      </w:r>
      <w:r w:rsidRPr="000A5E3A">
        <w:rPr>
          <w:rStyle w:val="Strong"/>
          <w:rFonts w:ascii="Arial" w:hAnsi="Arial" w:cs="Arial"/>
          <w:b w:val="0"/>
          <w:bCs w:val="0"/>
        </w:rPr>
        <w:t>hared spectrum introduces</w:t>
      </w:r>
      <w:r w:rsidRPr="000A5E3A">
        <w:rPr>
          <w:rStyle w:val="Strong"/>
          <w:rFonts w:ascii="Arial" w:hAnsi="Arial" w:cs="Arial"/>
        </w:rPr>
        <w:t xml:space="preserve"> unacceptable risks of disruption and harmful interference</w:t>
      </w:r>
      <w:r w:rsidR="00610CE9" w:rsidRPr="000A5E3A">
        <w:rPr>
          <w:rStyle w:val="Strong"/>
          <w:rFonts w:ascii="Arial" w:hAnsi="Arial" w:cs="Arial"/>
        </w:rPr>
        <w:t xml:space="preserve"> </w:t>
      </w:r>
      <w:r w:rsidR="00610CE9" w:rsidRPr="000A5E3A">
        <w:rPr>
          <w:rStyle w:val="Strong"/>
          <w:rFonts w:ascii="Arial" w:hAnsi="Arial" w:cs="Arial"/>
          <w:b w:val="0"/>
          <w:bCs w:val="0"/>
        </w:rPr>
        <w:t>that are not compatible with</w:t>
      </w:r>
      <w:r w:rsidR="00610CE9" w:rsidRPr="000A5E3A">
        <w:rPr>
          <w:rStyle w:val="Strong"/>
          <w:rFonts w:ascii="Arial" w:hAnsi="Arial" w:cs="Arial"/>
        </w:rPr>
        <w:t xml:space="preserve"> </w:t>
      </w:r>
      <w:r w:rsidR="00610CE9" w:rsidRPr="000A5E3A">
        <w:rPr>
          <w:rFonts w:ascii="Arial" w:hAnsi="Arial" w:cs="Arial"/>
        </w:rPr>
        <w:t>these strict reliability and security requirements</w:t>
      </w:r>
      <w:r w:rsidRPr="000A5E3A">
        <w:rPr>
          <w:rFonts w:ascii="Arial" w:hAnsi="Arial" w:cs="Arial"/>
        </w:rPr>
        <w:t xml:space="preserve">. </w:t>
      </w:r>
      <w:r w:rsidR="00610CE9" w:rsidRPr="000A5E3A">
        <w:rPr>
          <w:rFonts w:ascii="Arial" w:hAnsi="Arial" w:cs="Arial"/>
        </w:rPr>
        <w:t xml:space="preserve">For this </w:t>
      </w:r>
      <w:r w:rsidR="00B3790C" w:rsidRPr="000A5E3A">
        <w:rPr>
          <w:rFonts w:ascii="Arial" w:hAnsi="Arial" w:cs="Arial"/>
        </w:rPr>
        <w:t>reason,</w:t>
      </w:r>
      <w:r w:rsidR="00610CE9" w:rsidRPr="000A5E3A">
        <w:rPr>
          <w:rFonts w:ascii="Arial" w:hAnsi="Arial" w:cs="Arial"/>
        </w:rPr>
        <w:t xml:space="preserve"> </w:t>
      </w:r>
      <w:r w:rsidRPr="000A5E3A">
        <w:rPr>
          <w:rFonts w:ascii="Arial" w:hAnsi="Arial" w:cs="Arial"/>
        </w:rPr>
        <w:lastRenderedPageBreak/>
        <w:t>regulators</w:t>
      </w:r>
      <w:r w:rsidR="00610CE9" w:rsidRPr="000A5E3A">
        <w:rPr>
          <w:rFonts w:ascii="Arial" w:hAnsi="Arial" w:cs="Arial"/>
        </w:rPr>
        <w:t xml:space="preserve">, globally, </w:t>
      </w:r>
      <w:r w:rsidRPr="000A5E3A">
        <w:rPr>
          <w:rFonts w:ascii="Arial" w:hAnsi="Arial" w:cs="Arial"/>
        </w:rPr>
        <w:t xml:space="preserve">allocate </w:t>
      </w:r>
      <w:r w:rsidRPr="000A5E3A">
        <w:rPr>
          <w:rStyle w:val="Strong"/>
          <w:rFonts w:ascii="Arial" w:hAnsi="Arial" w:cs="Arial"/>
        </w:rPr>
        <w:t>spectrum exclusively for railways</w:t>
      </w:r>
      <w:r w:rsidRPr="000A5E3A">
        <w:rPr>
          <w:rFonts w:ascii="Arial" w:hAnsi="Arial" w:cs="Arial"/>
        </w:rPr>
        <w:t>, ensuring safe, uninterrupted operations.</w:t>
      </w:r>
      <w:r w:rsidR="00610CE9" w:rsidRPr="000A5E3A">
        <w:rPr>
          <w:rFonts w:ascii="Arial" w:hAnsi="Arial" w:cs="Arial"/>
        </w:rPr>
        <w:t xml:space="preserve"> </w:t>
      </w:r>
      <w:r w:rsidRPr="000A5E3A">
        <w:rPr>
          <w:rFonts w:ascii="Arial" w:hAnsi="Arial" w:cs="Arial"/>
        </w:rPr>
        <w:t xml:space="preserve">No country currently implements sharing in FRMCS bands. </w:t>
      </w:r>
    </w:p>
    <w:p w14:paraId="13EF38F8" w14:textId="65F75962" w:rsidR="00997597" w:rsidRPr="000A5E3A" w:rsidRDefault="00997597" w:rsidP="00997597">
      <w:pPr>
        <w:pStyle w:val="NormalWeb"/>
        <w:rPr>
          <w:rFonts w:ascii="Arial" w:hAnsi="Arial" w:cs="Arial"/>
        </w:rPr>
      </w:pPr>
      <w:r w:rsidRPr="000A5E3A">
        <w:rPr>
          <w:rFonts w:ascii="Arial" w:hAnsi="Arial" w:cs="Arial"/>
        </w:rPr>
        <w:t xml:space="preserve">It is recommended that ICASA consider the European approach, where EU Member States under </w:t>
      </w:r>
      <w:r w:rsidRPr="000A5E3A">
        <w:rPr>
          <w:rStyle w:val="Strong"/>
          <w:rFonts w:ascii="Arial" w:hAnsi="Arial" w:cs="Arial"/>
        </w:rPr>
        <w:t>EU Decision 2021/1730</w:t>
      </w:r>
      <w:r w:rsidRPr="000A5E3A">
        <w:rPr>
          <w:rFonts w:ascii="Arial" w:hAnsi="Arial" w:cs="Arial"/>
        </w:rPr>
        <w:t xml:space="preserve"> and </w:t>
      </w:r>
      <w:r w:rsidRPr="000A5E3A">
        <w:rPr>
          <w:rStyle w:val="Strong"/>
          <w:rFonts w:ascii="Arial" w:hAnsi="Arial" w:cs="Arial"/>
        </w:rPr>
        <w:t>ECC Decision (20)02</w:t>
      </w:r>
      <w:r w:rsidRPr="000A5E3A">
        <w:rPr>
          <w:rFonts w:ascii="Arial" w:hAnsi="Arial" w:cs="Arial"/>
        </w:rPr>
        <w:t xml:space="preserve"> are required to designate and make available spectrum for FRMCS in the </w:t>
      </w:r>
      <w:r w:rsidRPr="000A5E3A">
        <w:rPr>
          <w:rStyle w:val="Strong"/>
          <w:rFonts w:ascii="Arial" w:hAnsi="Arial" w:cs="Arial"/>
        </w:rPr>
        <w:t>900 MHz (Band n100)</w:t>
      </w:r>
      <w:r w:rsidRPr="000A5E3A">
        <w:rPr>
          <w:rFonts w:ascii="Arial" w:hAnsi="Arial" w:cs="Arial"/>
        </w:rPr>
        <w:t xml:space="preserve"> and </w:t>
      </w:r>
      <w:r w:rsidRPr="000A5E3A">
        <w:rPr>
          <w:rStyle w:val="Strong"/>
          <w:rFonts w:ascii="Arial" w:hAnsi="Arial" w:cs="Arial"/>
        </w:rPr>
        <w:t>1900 MHz (Band n101)</w:t>
      </w:r>
      <w:r w:rsidRPr="000A5E3A">
        <w:rPr>
          <w:rFonts w:ascii="Arial" w:hAnsi="Arial" w:cs="Arial"/>
        </w:rPr>
        <w:t xml:space="preserve"> ranges on a non-exclusive basis. These bands are intended to serve as the primary FRMCS frequencies during and after the migration from GSM-R, ensuring continuity for critical railway applications.</w:t>
      </w:r>
    </w:p>
    <w:p w14:paraId="4866ECED" w14:textId="6EC197F3" w:rsidR="00FE4E98" w:rsidRPr="000A5E3A" w:rsidRDefault="00997597" w:rsidP="00997597">
      <w:pPr>
        <w:pStyle w:val="NormalWeb"/>
        <w:rPr>
          <w:rFonts w:ascii="Arial" w:hAnsi="Arial" w:cs="Arial"/>
        </w:rPr>
      </w:pPr>
      <w:r w:rsidRPr="000A5E3A">
        <w:rPr>
          <w:rFonts w:ascii="Arial" w:hAnsi="Arial" w:cs="Arial"/>
        </w:rPr>
        <w:t>Where spectrum resources are constrained, Huawei advises that any sharing mechanism must safeguard FRMCS priority. This means FRMCS should always retain precedence over other uses, and geographic separation of shared networks must be enforced to prevent interference. Such measures balance spectrum efficiency with the uncompromising need for secure, reliable railway communications.</w:t>
      </w:r>
      <w:r w:rsidR="00FE4E98" w:rsidRPr="000A5E3A">
        <w:rPr>
          <w:rStyle w:val="FootnoteReference"/>
          <w:rFonts w:ascii="Arial" w:eastAsia="Times New Roman" w:hAnsi="Arial" w:cs="Arial"/>
        </w:rPr>
        <w:footnoteReference w:id="1"/>
      </w:r>
    </w:p>
    <w:bookmarkEnd w:id="3"/>
    <w:p w14:paraId="2F9C100C" w14:textId="77777777" w:rsidR="00FE4E98" w:rsidRPr="000A5E3A" w:rsidRDefault="00FE4E98" w:rsidP="00FE4E98">
      <w:pPr>
        <w:rPr>
          <w:rFonts w:ascii="Arial" w:eastAsia="Times New Roman" w:hAnsi="Arial" w:cs="Arial"/>
        </w:rPr>
      </w:pPr>
    </w:p>
    <w:p w14:paraId="11206EEF" w14:textId="507763CC" w:rsidR="00FE4E98" w:rsidRPr="000A5E3A" w:rsidRDefault="00543462" w:rsidP="00FE4E98">
      <w:pPr>
        <w:rPr>
          <w:rFonts w:ascii="Arial" w:eastAsia="Times New Roman" w:hAnsi="Arial" w:cs="Arial"/>
          <w:b/>
          <w:color w:val="FF0000"/>
        </w:rPr>
      </w:pPr>
      <w:bookmarkStart w:id="4" w:name="_Hlk220318637"/>
      <w:r w:rsidRPr="000A5E3A">
        <w:rPr>
          <w:rFonts w:ascii="Arial" w:eastAsia="Times New Roman" w:hAnsi="Arial" w:cs="Arial"/>
          <w:b/>
          <w:color w:val="FF0000"/>
        </w:rPr>
        <w:t xml:space="preserve">ICASA </w:t>
      </w:r>
      <w:r w:rsidR="00FE4E98" w:rsidRPr="000A5E3A">
        <w:rPr>
          <w:rFonts w:ascii="Arial" w:eastAsia="Times New Roman" w:hAnsi="Arial" w:cs="Arial"/>
          <w:b/>
          <w:color w:val="FF0000"/>
        </w:rPr>
        <w:t>Question 3:</w:t>
      </w:r>
      <w:r w:rsidR="00FE4E98" w:rsidRPr="000A5E3A">
        <w:rPr>
          <w:rFonts w:ascii="Arial" w:eastAsia="Times New Roman" w:hAnsi="Arial" w:cs="Arial"/>
          <w:b/>
          <w:color w:val="FF0000"/>
        </w:rPr>
        <w:tab/>
        <w:t>Public Protection and Disaster Relief (PPDR) Bands</w:t>
      </w:r>
    </w:p>
    <w:p w14:paraId="244C80BF" w14:textId="77777777" w:rsidR="00FE4E98" w:rsidRPr="000A5E3A" w:rsidRDefault="00FE4E98" w:rsidP="00FE4E98">
      <w:pPr>
        <w:rPr>
          <w:rFonts w:ascii="Arial" w:eastAsia="Times New Roman" w:hAnsi="Arial" w:cs="Arial"/>
        </w:rPr>
      </w:pPr>
      <w:r w:rsidRPr="000A5E3A">
        <w:rPr>
          <w:rFonts w:ascii="Arial" w:eastAsia="Times New Roman" w:hAnsi="Arial" w:cs="Arial"/>
        </w:rPr>
        <w:t>Given the absence of clearly designated PPDR bands in South Africa, which frequency ranges does Huawei recommend, and how do these align with ITU and regional precedents?</w:t>
      </w:r>
    </w:p>
    <w:bookmarkEnd w:id="4"/>
    <w:p w14:paraId="25F3E286" w14:textId="77777777" w:rsidR="00FE4E98" w:rsidRPr="000A5E3A" w:rsidRDefault="00FE4E98" w:rsidP="00FE4E98">
      <w:pPr>
        <w:rPr>
          <w:rFonts w:ascii="Arial" w:eastAsia="Times New Roman" w:hAnsi="Arial" w:cs="Arial"/>
        </w:rPr>
      </w:pPr>
    </w:p>
    <w:p w14:paraId="1845FEEE" w14:textId="652254FD" w:rsidR="00FE4E98" w:rsidRPr="000A5E3A" w:rsidRDefault="00543462" w:rsidP="00FE4E98">
      <w:pPr>
        <w:rPr>
          <w:rFonts w:ascii="Arial" w:eastAsia="Times New Roman" w:hAnsi="Arial" w:cs="Arial"/>
          <w:b/>
        </w:rPr>
      </w:pPr>
      <w:r w:rsidRPr="000A5E3A">
        <w:rPr>
          <w:rFonts w:ascii="Arial" w:eastAsia="Times New Roman" w:hAnsi="Arial" w:cs="Arial"/>
          <w:b/>
        </w:rPr>
        <w:t xml:space="preserve">Huawei </w:t>
      </w:r>
      <w:r w:rsidR="00FE4E98" w:rsidRPr="000A5E3A">
        <w:rPr>
          <w:rFonts w:ascii="Arial" w:eastAsia="Times New Roman" w:hAnsi="Arial" w:cs="Arial"/>
          <w:b/>
        </w:rPr>
        <w:t>Response</w:t>
      </w:r>
    </w:p>
    <w:p w14:paraId="5051B88B" w14:textId="77777777" w:rsidR="00FE4E98" w:rsidRPr="000A5E3A" w:rsidRDefault="00FE4E98" w:rsidP="00FE4E98">
      <w:pPr>
        <w:rPr>
          <w:rFonts w:ascii="Arial" w:eastAsia="Times New Roman" w:hAnsi="Arial" w:cs="Arial"/>
        </w:rPr>
      </w:pPr>
      <w:r w:rsidRPr="000A5E3A">
        <w:rPr>
          <w:rFonts w:ascii="Arial" w:eastAsia="Times New Roman" w:hAnsi="Arial" w:cs="Arial"/>
        </w:rPr>
        <w:t>The ITU-R Resolution 646 (REV.WRC-15)</w:t>
      </w:r>
      <w:r w:rsidRPr="000A5E3A">
        <w:rPr>
          <w:rStyle w:val="FootnoteReference"/>
          <w:rFonts w:ascii="Arial" w:eastAsia="Times New Roman" w:hAnsi="Arial" w:cs="Arial"/>
        </w:rPr>
        <w:footnoteReference w:id="2"/>
      </w:r>
      <w:r w:rsidRPr="000A5E3A">
        <w:rPr>
          <w:rFonts w:ascii="Arial" w:eastAsia="Times New Roman" w:hAnsi="Arial" w:cs="Arial"/>
        </w:rPr>
        <w:t xml:space="preserve"> addresses the need for Public Protection and Disaster Relief (PPDR) services, emphasizing the importance of harmonized frequency bands for effective communication in disaster situations. Key points include:</w:t>
      </w:r>
    </w:p>
    <w:p w14:paraId="6A217C4B" w14:textId="77777777" w:rsidR="00FE4E98" w:rsidRPr="000A5E3A" w:rsidRDefault="00FE4E98" w:rsidP="00FE4E98">
      <w:pPr>
        <w:pStyle w:val="ListParagraph"/>
        <w:numPr>
          <w:ilvl w:val="0"/>
          <w:numId w:val="15"/>
        </w:numPr>
        <w:ind w:firstLineChars="0"/>
        <w:contextualSpacing/>
        <w:jc w:val="both"/>
        <w:rPr>
          <w:rFonts w:ascii="Arial" w:eastAsia="Times New Roman" w:hAnsi="Arial" w:cs="Arial"/>
        </w:rPr>
      </w:pPr>
      <w:r w:rsidRPr="000A5E3A">
        <w:rPr>
          <w:rFonts w:ascii="Arial" w:eastAsia="Times New Roman" w:hAnsi="Arial" w:cs="Arial"/>
        </w:rPr>
        <w:t xml:space="preserve">The resolution encourages administrations to identify spectrum in the frequency range of 380-470 MHz for PPDR activities, particularly for broadband services. </w:t>
      </w:r>
    </w:p>
    <w:p w14:paraId="21AA343F" w14:textId="3E0EB0BF" w:rsidR="00FE4E98" w:rsidRPr="000A5E3A" w:rsidRDefault="00FE4E98" w:rsidP="00FE4E98">
      <w:pPr>
        <w:pStyle w:val="ListParagraph"/>
        <w:numPr>
          <w:ilvl w:val="0"/>
          <w:numId w:val="15"/>
        </w:numPr>
        <w:ind w:firstLineChars="0"/>
        <w:contextualSpacing/>
        <w:jc w:val="both"/>
        <w:rPr>
          <w:rFonts w:ascii="Arial" w:eastAsia="Times New Roman" w:hAnsi="Arial" w:cs="Arial"/>
        </w:rPr>
      </w:pPr>
      <w:r w:rsidRPr="000A5E3A">
        <w:rPr>
          <w:rFonts w:ascii="Arial" w:eastAsia="Times New Roman" w:hAnsi="Arial" w:cs="Arial"/>
        </w:rPr>
        <w:t>The Resolution also suggests considering parts of the frequency range 694-894 MHz for broadband PPDR applications. In this regard you may wish to consider the PPDR blocks in Europe: 698-703 MHz / 753-758 MHz and 733-736 MHz / 788-791 MHz/</w:t>
      </w:r>
    </w:p>
    <w:p w14:paraId="19A3170D" w14:textId="77777777" w:rsidR="00FE4E98" w:rsidRPr="000A5E3A" w:rsidRDefault="00FE4E98" w:rsidP="00FE4E98">
      <w:pPr>
        <w:pStyle w:val="ListParagraph"/>
        <w:numPr>
          <w:ilvl w:val="0"/>
          <w:numId w:val="15"/>
        </w:numPr>
        <w:ind w:firstLineChars="0"/>
        <w:contextualSpacing/>
        <w:jc w:val="both"/>
        <w:rPr>
          <w:rFonts w:ascii="Arial" w:eastAsia="Times New Roman" w:hAnsi="Arial" w:cs="Arial"/>
        </w:rPr>
      </w:pPr>
      <w:r w:rsidRPr="000A5E3A">
        <w:rPr>
          <w:rFonts w:ascii="Arial" w:eastAsia="Times New Roman" w:hAnsi="Arial" w:cs="Arial"/>
        </w:rPr>
        <w:t xml:space="preserve">The resolution promotes global and regional harmonization of frequency bands to enhance interoperability and support effective PPDR operations. </w:t>
      </w:r>
    </w:p>
    <w:p w14:paraId="4B9D3AA5" w14:textId="77777777" w:rsidR="00FE4E98" w:rsidRPr="000A5E3A" w:rsidRDefault="00FE4E98" w:rsidP="00FE4E98">
      <w:pPr>
        <w:rPr>
          <w:rFonts w:ascii="Arial" w:eastAsia="Times New Roman" w:hAnsi="Arial" w:cs="Arial"/>
        </w:rPr>
      </w:pPr>
    </w:p>
    <w:p w14:paraId="504ED976" w14:textId="1D29637D" w:rsidR="00FE4E98" w:rsidRPr="000A5E3A" w:rsidRDefault="00FE4E98" w:rsidP="00B3790C">
      <w:pPr>
        <w:pStyle w:val="NormalWeb"/>
        <w:rPr>
          <w:rFonts w:ascii="Arial" w:hAnsi="Arial" w:cs="Arial"/>
        </w:rPr>
      </w:pPr>
      <w:r w:rsidRPr="000A5E3A">
        <w:rPr>
          <w:rFonts w:ascii="Arial" w:hAnsi="Arial" w:cs="Arial"/>
        </w:rPr>
        <w:t>Recommendation ITU-R M.2015-2</w:t>
      </w:r>
      <w:r w:rsidRPr="000A5E3A">
        <w:rPr>
          <w:rFonts w:ascii="Arial" w:hAnsi="Arial" w:cs="Arial"/>
          <w:sz w:val="28"/>
          <w:szCs w:val="28"/>
          <w:vertAlign w:val="superscript"/>
        </w:rPr>
        <w:footnoteReference w:id="3"/>
      </w:r>
      <w:r w:rsidRPr="000A5E3A">
        <w:rPr>
          <w:rFonts w:ascii="Arial" w:hAnsi="Arial" w:cs="Arial"/>
        </w:rPr>
        <w:t xml:space="preserve"> provides guidance on frequency arrangements for public protection and disaster relief radiocommunications in certain regions in some of the bands below 1 GHz identified in Resolution 646. Section 1-1.4</w:t>
      </w:r>
      <w:r w:rsidR="00610CE9" w:rsidRPr="000A5E3A">
        <w:rPr>
          <w:rFonts w:ascii="Arial" w:hAnsi="Arial" w:cs="Arial"/>
        </w:rPr>
        <w:t xml:space="preserve"> </w:t>
      </w:r>
      <w:r w:rsidRPr="000A5E3A">
        <w:rPr>
          <w:rFonts w:ascii="Arial" w:hAnsi="Arial" w:cs="Arial"/>
        </w:rPr>
        <w:t xml:space="preserve">contains harmonized frequency arrangements within the frequency range 694-894 MHz in accordance with </w:t>
      </w:r>
      <w:r w:rsidRPr="000A5E3A">
        <w:rPr>
          <w:rFonts w:ascii="Arial" w:hAnsi="Arial" w:cs="Arial"/>
        </w:rPr>
        <w:lastRenderedPageBreak/>
        <w:t>the ATU harmonization measures for broadband PPDR.</w:t>
      </w:r>
      <w:r w:rsidR="00610CE9" w:rsidRPr="000A5E3A">
        <w:rPr>
          <w:rFonts w:ascii="Arial" w:hAnsi="Arial" w:cs="Arial"/>
        </w:rPr>
        <w:t xml:space="preserve"> </w:t>
      </w:r>
      <w:r w:rsidRPr="000A5E3A">
        <w:rPr>
          <w:rFonts w:ascii="Arial" w:hAnsi="Arial" w:cs="Arial"/>
        </w:rPr>
        <w:t>We recommend that ICASA refers to these official ITU documents for more detailed information.</w:t>
      </w:r>
    </w:p>
    <w:p w14:paraId="7BF97528" w14:textId="77777777" w:rsidR="00FE4E98" w:rsidRPr="000A5E3A" w:rsidRDefault="00FE4E98" w:rsidP="00FE4E98">
      <w:pPr>
        <w:rPr>
          <w:rFonts w:ascii="Arial" w:eastAsia="Times New Roman" w:hAnsi="Arial" w:cs="Arial"/>
        </w:rPr>
      </w:pPr>
    </w:p>
    <w:p w14:paraId="2C1071F3" w14:textId="04118409" w:rsidR="00FE4E98" w:rsidRPr="000A5E3A" w:rsidRDefault="00543462" w:rsidP="00FE4E98">
      <w:pPr>
        <w:rPr>
          <w:rFonts w:ascii="Arial" w:eastAsia="Times New Roman" w:hAnsi="Arial" w:cs="Arial"/>
          <w:b/>
          <w:color w:val="FF0000"/>
        </w:rPr>
      </w:pPr>
      <w:r w:rsidRPr="000A5E3A">
        <w:rPr>
          <w:rFonts w:ascii="Arial" w:eastAsia="Times New Roman" w:hAnsi="Arial" w:cs="Arial"/>
          <w:b/>
          <w:color w:val="FF0000"/>
        </w:rPr>
        <w:t xml:space="preserve">ICASA </w:t>
      </w:r>
      <w:r w:rsidR="00FE4E98" w:rsidRPr="000A5E3A">
        <w:rPr>
          <w:rFonts w:ascii="Arial" w:eastAsia="Times New Roman" w:hAnsi="Arial" w:cs="Arial"/>
          <w:b/>
          <w:color w:val="FF0000"/>
        </w:rPr>
        <w:t>Question 4:</w:t>
      </w:r>
      <w:r w:rsidR="00FE4E98" w:rsidRPr="000A5E3A">
        <w:rPr>
          <w:rFonts w:ascii="Arial" w:eastAsia="Times New Roman" w:hAnsi="Arial" w:cs="Arial"/>
          <w:b/>
          <w:color w:val="FF0000"/>
        </w:rPr>
        <w:tab/>
        <w:t>L</w:t>
      </w:r>
      <w:r w:rsidR="00FE4E98" w:rsidRPr="000A5E3A">
        <w:rPr>
          <w:rFonts w:ascii="Arial" w:eastAsia="Times New Roman" w:hAnsi="Arial" w:cs="Arial"/>
          <w:b/>
          <w:color w:val="FF0000"/>
        </w:rPr>
        <w:noBreakHyphen/>
        <w:t>Band Interference and Litigation Risks (1427–1518 MHz)</w:t>
      </w:r>
    </w:p>
    <w:p w14:paraId="0DF038D8" w14:textId="77777777" w:rsidR="00FE4E98" w:rsidRPr="000A5E3A" w:rsidRDefault="00FE4E98" w:rsidP="00FE4E98">
      <w:pPr>
        <w:rPr>
          <w:rFonts w:ascii="Arial" w:eastAsia="Times New Roman" w:hAnsi="Arial" w:cs="Arial"/>
        </w:rPr>
      </w:pPr>
      <w:r w:rsidRPr="000A5E3A">
        <w:rPr>
          <w:rFonts w:ascii="Arial" w:eastAsia="Times New Roman" w:hAnsi="Arial" w:cs="Arial"/>
        </w:rPr>
        <w:t>What specific litigation or regulatory considerations should be anticipated regarding satellite interference in the L</w:t>
      </w:r>
      <w:r w:rsidRPr="000A5E3A">
        <w:rPr>
          <w:rFonts w:ascii="Arial" w:eastAsia="Times New Roman" w:hAnsi="Arial" w:cs="Arial"/>
        </w:rPr>
        <w:noBreakHyphen/>
        <w:t>Band, and how can South Africa mitigate these risks while ensuring compliance with international obligations?</w:t>
      </w:r>
    </w:p>
    <w:p w14:paraId="53C16779" w14:textId="77777777" w:rsidR="00FE4E98" w:rsidRPr="000A5E3A" w:rsidRDefault="00FE4E98" w:rsidP="00FE4E98">
      <w:pPr>
        <w:rPr>
          <w:rFonts w:ascii="Arial" w:eastAsia="Times New Roman" w:hAnsi="Arial" w:cs="Arial"/>
        </w:rPr>
      </w:pPr>
    </w:p>
    <w:p w14:paraId="3DAB5EDB" w14:textId="28F39C1F" w:rsidR="00FE4E98" w:rsidRPr="000A5E3A" w:rsidRDefault="00543462" w:rsidP="00FE4E98">
      <w:pPr>
        <w:rPr>
          <w:rFonts w:ascii="Arial" w:eastAsia="Times New Roman" w:hAnsi="Arial" w:cs="Arial"/>
          <w:b/>
        </w:rPr>
      </w:pPr>
      <w:r w:rsidRPr="000A5E3A">
        <w:rPr>
          <w:rFonts w:ascii="Arial" w:eastAsia="Times New Roman" w:hAnsi="Arial" w:cs="Arial"/>
          <w:b/>
        </w:rPr>
        <w:t xml:space="preserve">Huawei </w:t>
      </w:r>
      <w:r w:rsidR="00FE4E98" w:rsidRPr="000A5E3A">
        <w:rPr>
          <w:rFonts w:ascii="Arial" w:eastAsia="Times New Roman" w:hAnsi="Arial" w:cs="Arial"/>
          <w:b/>
        </w:rPr>
        <w:t>Response</w:t>
      </w:r>
    </w:p>
    <w:p w14:paraId="7262BF7D" w14:textId="77777777" w:rsidR="00FE4E98" w:rsidRPr="000A5E3A" w:rsidRDefault="00FE4E98" w:rsidP="00FE4E98">
      <w:pPr>
        <w:rPr>
          <w:rFonts w:ascii="Arial" w:eastAsia="Times New Roman" w:hAnsi="Arial" w:cs="Arial"/>
        </w:rPr>
      </w:pPr>
      <w:r w:rsidRPr="000A5E3A">
        <w:rPr>
          <w:rFonts w:ascii="Arial" w:eastAsia="Times New Roman" w:hAnsi="Arial" w:cs="Arial"/>
        </w:rPr>
        <w:t>We recommend that ICASA adopt the technical conditions in ECC Decision 17(06)</w:t>
      </w:r>
      <w:r w:rsidRPr="000A5E3A">
        <w:rPr>
          <w:rStyle w:val="FootnoteReference"/>
          <w:rFonts w:ascii="Arial" w:eastAsia="Times New Roman" w:hAnsi="Arial" w:cs="Arial"/>
        </w:rPr>
        <w:footnoteReference w:id="4"/>
      </w:r>
      <w:r w:rsidRPr="000A5E3A">
        <w:rPr>
          <w:rFonts w:ascii="Arial" w:eastAsia="Times New Roman" w:hAnsi="Arial" w:cs="Arial"/>
        </w:rPr>
        <w:t>.</w:t>
      </w:r>
    </w:p>
    <w:p w14:paraId="515906A2" w14:textId="77777777" w:rsidR="00FE4E98" w:rsidRPr="000A5E3A" w:rsidRDefault="00FE4E98" w:rsidP="00FE4E98">
      <w:pPr>
        <w:pStyle w:val="ListParagraph"/>
        <w:numPr>
          <w:ilvl w:val="0"/>
          <w:numId w:val="16"/>
        </w:numPr>
        <w:ind w:firstLineChars="0"/>
        <w:contextualSpacing/>
        <w:rPr>
          <w:rFonts w:ascii="Arial" w:eastAsia="Times New Roman" w:hAnsi="Arial" w:cs="Arial"/>
        </w:rPr>
      </w:pPr>
      <w:r w:rsidRPr="000A5E3A">
        <w:rPr>
          <w:rFonts w:ascii="Arial" w:eastAsia="Times New Roman" w:hAnsi="Arial" w:cs="Arial"/>
        </w:rPr>
        <w:t>OOB emissions limit below 1427 MHz for protection of EESS</w:t>
      </w:r>
    </w:p>
    <w:p w14:paraId="5F60682A" w14:textId="77777777" w:rsidR="00FE4E98" w:rsidRPr="000A5E3A" w:rsidRDefault="00FE4E98" w:rsidP="00FE4E98">
      <w:pPr>
        <w:pStyle w:val="ListParagraph"/>
        <w:numPr>
          <w:ilvl w:val="0"/>
          <w:numId w:val="16"/>
        </w:numPr>
        <w:ind w:firstLineChars="0"/>
        <w:contextualSpacing/>
        <w:rPr>
          <w:rFonts w:ascii="Arial" w:eastAsia="Times New Roman" w:hAnsi="Arial" w:cs="Arial"/>
        </w:rPr>
      </w:pPr>
      <w:r w:rsidRPr="000A5E3A">
        <w:rPr>
          <w:rFonts w:ascii="Arial" w:eastAsia="Times New Roman" w:hAnsi="Arial" w:cs="Arial"/>
        </w:rPr>
        <w:t>Protection of MSS:</w:t>
      </w:r>
    </w:p>
    <w:p w14:paraId="10890201" w14:textId="77777777" w:rsidR="00FE4E98" w:rsidRPr="000A5E3A" w:rsidRDefault="00FE4E98" w:rsidP="00FE4E98">
      <w:pPr>
        <w:pStyle w:val="ListParagraph"/>
        <w:numPr>
          <w:ilvl w:val="1"/>
          <w:numId w:val="16"/>
        </w:numPr>
        <w:ind w:firstLineChars="0"/>
        <w:contextualSpacing/>
        <w:rPr>
          <w:rFonts w:ascii="Arial" w:eastAsia="Times New Roman" w:hAnsi="Arial" w:cs="Arial"/>
        </w:rPr>
      </w:pPr>
      <w:r w:rsidRPr="000A5E3A">
        <w:rPr>
          <w:rFonts w:ascii="Arial" w:eastAsia="Times New Roman" w:hAnsi="Arial" w:cs="Arial"/>
        </w:rPr>
        <w:t>1 MHz guard band in 1517-1518 MHz</w:t>
      </w:r>
    </w:p>
    <w:p w14:paraId="731EA5AB" w14:textId="77777777" w:rsidR="00FE4E98" w:rsidRPr="000A5E3A" w:rsidRDefault="00FE4E98" w:rsidP="00FE4E98">
      <w:pPr>
        <w:pStyle w:val="ListParagraph"/>
        <w:numPr>
          <w:ilvl w:val="1"/>
          <w:numId w:val="16"/>
        </w:numPr>
        <w:ind w:firstLineChars="0"/>
        <w:contextualSpacing/>
        <w:rPr>
          <w:rFonts w:ascii="Arial" w:eastAsia="Times New Roman" w:hAnsi="Arial" w:cs="Arial"/>
        </w:rPr>
      </w:pPr>
      <w:r w:rsidRPr="000A5E3A">
        <w:rPr>
          <w:rFonts w:ascii="Arial" w:eastAsia="Times New Roman" w:hAnsi="Arial" w:cs="Arial"/>
        </w:rPr>
        <w:t xml:space="preserve"> In block EIRP limit in 1512-1517 MHz</w:t>
      </w:r>
    </w:p>
    <w:p w14:paraId="79C691FF" w14:textId="77777777" w:rsidR="00FE4E98" w:rsidRPr="000A5E3A" w:rsidRDefault="00FE4E98" w:rsidP="00FE4E98">
      <w:pPr>
        <w:pStyle w:val="ListParagraph"/>
        <w:numPr>
          <w:ilvl w:val="1"/>
          <w:numId w:val="16"/>
        </w:numPr>
        <w:ind w:firstLineChars="0"/>
        <w:contextualSpacing/>
        <w:rPr>
          <w:rFonts w:ascii="Arial" w:eastAsia="Times New Roman" w:hAnsi="Arial" w:cs="Arial"/>
        </w:rPr>
      </w:pPr>
      <w:r w:rsidRPr="000A5E3A">
        <w:rPr>
          <w:rFonts w:ascii="Arial" w:eastAsia="Times New Roman" w:hAnsi="Arial" w:cs="Arial"/>
        </w:rPr>
        <w:t>OOB emissions limited above 1518 MHz</w:t>
      </w:r>
    </w:p>
    <w:p w14:paraId="786DA721" w14:textId="77777777" w:rsidR="00FE4E98" w:rsidRPr="000A5E3A" w:rsidRDefault="00FE4E98" w:rsidP="00FE4E98">
      <w:pPr>
        <w:rPr>
          <w:rFonts w:ascii="Arial" w:eastAsia="Times New Roman" w:hAnsi="Arial" w:cs="Arial"/>
        </w:rPr>
      </w:pPr>
    </w:p>
    <w:p w14:paraId="21B19BEB" w14:textId="1BCE7414" w:rsidR="00FE4E98" w:rsidRPr="000A5E3A" w:rsidRDefault="00543462" w:rsidP="00FE4E98">
      <w:pPr>
        <w:rPr>
          <w:rFonts w:ascii="Arial" w:eastAsia="Times New Roman" w:hAnsi="Arial" w:cs="Arial"/>
          <w:b/>
          <w:color w:val="FF0000"/>
        </w:rPr>
      </w:pPr>
      <w:r w:rsidRPr="000A5E3A">
        <w:rPr>
          <w:rFonts w:ascii="Arial" w:eastAsia="Times New Roman" w:hAnsi="Arial" w:cs="Arial"/>
          <w:b/>
          <w:color w:val="FF0000"/>
        </w:rPr>
        <w:t xml:space="preserve">ICASA </w:t>
      </w:r>
      <w:r w:rsidR="00FE4E98" w:rsidRPr="000A5E3A">
        <w:rPr>
          <w:rFonts w:ascii="Arial" w:eastAsia="Times New Roman" w:hAnsi="Arial" w:cs="Arial"/>
          <w:b/>
          <w:color w:val="FF0000"/>
        </w:rPr>
        <w:t>Question 5:</w:t>
      </w:r>
      <w:r w:rsidR="00FE4E98" w:rsidRPr="000A5E3A">
        <w:rPr>
          <w:rFonts w:ascii="Arial" w:eastAsia="Times New Roman" w:hAnsi="Arial" w:cs="Arial"/>
          <w:b/>
          <w:color w:val="FF0000"/>
        </w:rPr>
        <w:tab/>
        <w:t>Power Distribution Network Proposal – Sharing vs. Coexistence</w:t>
      </w:r>
      <w:r w:rsidR="005F4DB8" w:rsidRPr="000A5E3A">
        <w:rPr>
          <w:rFonts w:ascii="Arial" w:eastAsia="Times New Roman" w:hAnsi="Arial" w:cs="Arial"/>
          <w:b/>
          <w:color w:val="FF0000"/>
        </w:rPr>
        <w:t xml:space="preserve"> </w:t>
      </w:r>
    </w:p>
    <w:p w14:paraId="35B754D2" w14:textId="6DCD859E" w:rsidR="00FE4E98" w:rsidRPr="000A5E3A" w:rsidRDefault="00FE4E98" w:rsidP="00FE4E98">
      <w:pPr>
        <w:rPr>
          <w:rFonts w:ascii="Arial" w:eastAsia="Times New Roman" w:hAnsi="Arial" w:cs="Arial"/>
        </w:rPr>
      </w:pPr>
      <w:r w:rsidRPr="000A5E3A">
        <w:rPr>
          <w:rFonts w:ascii="Arial" w:eastAsia="Times New Roman" w:hAnsi="Arial" w:cs="Arial"/>
        </w:rPr>
        <w:t>Should the Power Distribution Network proposal be managed through spectrum sharing or coexistence arrangements, and if so, which bands are technically viable without compromising reliability?</w:t>
      </w:r>
    </w:p>
    <w:p w14:paraId="553DDCF2" w14:textId="008BDDF0" w:rsidR="00FE4E98" w:rsidRPr="000A5E3A" w:rsidRDefault="00FE4E98" w:rsidP="00FE4E98">
      <w:pPr>
        <w:rPr>
          <w:rFonts w:ascii="Arial" w:eastAsia="Times New Roman" w:hAnsi="Arial" w:cs="Arial"/>
        </w:rPr>
      </w:pPr>
    </w:p>
    <w:p w14:paraId="415215E4" w14:textId="190D6199" w:rsidR="00FE4E98" w:rsidRPr="000A5E3A" w:rsidRDefault="00543462" w:rsidP="00FE4E98">
      <w:pPr>
        <w:rPr>
          <w:rFonts w:ascii="Arial" w:eastAsia="Times New Roman" w:hAnsi="Arial" w:cs="Arial"/>
          <w:b/>
        </w:rPr>
      </w:pPr>
      <w:r w:rsidRPr="000A5E3A">
        <w:rPr>
          <w:rFonts w:ascii="Arial" w:eastAsia="Times New Roman" w:hAnsi="Arial" w:cs="Arial"/>
          <w:b/>
        </w:rPr>
        <w:t xml:space="preserve">Huawei </w:t>
      </w:r>
      <w:r w:rsidR="00FE4E98" w:rsidRPr="000A5E3A">
        <w:rPr>
          <w:rFonts w:ascii="Arial" w:eastAsia="Times New Roman" w:hAnsi="Arial" w:cs="Arial"/>
          <w:b/>
        </w:rPr>
        <w:t>Response</w:t>
      </w:r>
    </w:p>
    <w:p w14:paraId="61953288" w14:textId="6B0E72C2" w:rsidR="005C15C3" w:rsidRPr="000A5E3A" w:rsidRDefault="002F766B" w:rsidP="00FE4E98">
      <w:pPr>
        <w:rPr>
          <w:rFonts w:ascii="Arial" w:eastAsia="Times New Roman" w:hAnsi="Arial" w:cs="Arial"/>
        </w:rPr>
      </w:pPr>
      <w:r w:rsidRPr="000A5E3A">
        <w:rPr>
          <w:rFonts w:ascii="Arial" w:hAnsi="Arial" w:cs="Arial"/>
        </w:rPr>
        <w:t>I</w:t>
      </w:r>
      <w:r w:rsidR="005C15C3" w:rsidRPr="000A5E3A">
        <w:rPr>
          <w:rFonts w:ascii="Arial" w:hAnsi="Arial" w:cs="Arial"/>
        </w:rPr>
        <w:t xml:space="preserve">t is recommended to use dedicated spectrum management in principle, because the power distribution network is a wide-area network. If the same spectrum is shared, spectrum interference may occur in overlapping areas, which will bring complex management and reliability risks. spectrums </w:t>
      </w:r>
      <w:r w:rsidR="00C61AFA" w:rsidRPr="000A5E3A">
        <w:rPr>
          <w:rFonts w:ascii="Arial" w:hAnsi="Arial" w:cs="Arial"/>
        </w:rPr>
        <w:t xml:space="preserve">that </w:t>
      </w:r>
      <w:r w:rsidR="005C15C3" w:rsidRPr="000A5E3A">
        <w:rPr>
          <w:rFonts w:ascii="Arial" w:hAnsi="Arial" w:cs="Arial"/>
        </w:rPr>
        <w:t xml:space="preserve">are based on LTE technology in terms of reliability, and there is no significant difference between them. Both spectrums can meet the network reliability requirements. </w:t>
      </w:r>
    </w:p>
    <w:p w14:paraId="60C3F537" w14:textId="77777777" w:rsidR="00FE4E98" w:rsidRPr="000A5E3A" w:rsidRDefault="00FE4E98" w:rsidP="00FE4E98">
      <w:pPr>
        <w:rPr>
          <w:rFonts w:ascii="Arial" w:eastAsia="Times New Roman" w:hAnsi="Arial" w:cs="Arial"/>
        </w:rPr>
      </w:pPr>
    </w:p>
    <w:p w14:paraId="4A2208BE" w14:textId="465F549B" w:rsidR="00997597" w:rsidRPr="000A5E3A" w:rsidRDefault="00543462" w:rsidP="00997597">
      <w:pPr>
        <w:rPr>
          <w:rFonts w:ascii="Arial" w:eastAsia="Times New Roman" w:hAnsi="Arial" w:cs="Arial"/>
          <w:b/>
          <w:color w:val="FF0000"/>
        </w:rPr>
      </w:pPr>
      <w:r w:rsidRPr="000A5E3A">
        <w:rPr>
          <w:rFonts w:ascii="Arial" w:eastAsia="Times New Roman" w:hAnsi="Arial" w:cs="Arial"/>
          <w:b/>
          <w:color w:val="FF0000"/>
        </w:rPr>
        <w:t xml:space="preserve">ICASA </w:t>
      </w:r>
      <w:r w:rsidR="00997597" w:rsidRPr="000A5E3A">
        <w:rPr>
          <w:rFonts w:ascii="Arial" w:eastAsia="Times New Roman" w:hAnsi="Arial" w:cs="Arial"/>
          <w:b/>
          <w:color w:val="FF0000"/>
        </w:rPr>
        <w:t xml:space="preserve">Question </w:t>
      </w:r>
      <w:r w:rsidR="00C61AFA" w:rsidRPr="000A5E3A">
        <w:rPr>
          <w:rFonts w:ascii="Arial" w:eastAsia="Times New Roman" w:hAnsi="Arial" w:cs="Arial"/>
          <w:b/>
          <w:color w:val="FF0000"/>
        </w:rPr>
        <w:t>6</w:t>
      </w:r>
      <w:r w:rsidR="00997597" w:rsidRPr="000A5E3A">
        <w:rPr>
          <w:rFonts w:ascii="Arial" w:eastAsia="Times New Roman" w:hAnsi="Arial" w:cs="Arial"/>
          <w:b/>
          <w:color w:val="FF0000"/>
        </w:rPr>
        <w:t>:</w:t>
      </w:r>
      <w:r w:rsidR="00997597" w:rsidRPr="000A5E3A">
        <w:rPr>
          <w:rFonts w:ascii="Arial" w:eastAsia="Times New Roman" w:hAnsi="Arial" w:cs="Arial"/>
          <w:b/>
          <w:color w:val="FF0000"/>
        </w:rPr>
        <w:tab/>
        <w:t>Transportation Zone Spectrum Sharing</w:t>
      </w:r>
    </w:p>
    <w:p w14:paraId="16B6335F" w14:textId="77777777" w:rsidR="00997597" w:rsidRPr="000A5E3A" w:rsidRDefault="00997597" w:rsidP="00997597">
      <w:pPr>
        <w:rPr>
          <w:rFonts w:ascii="Arial" w:eastAsia="Times New Roman" w:hAnsi="Arial" w:cs="Arial"/>
        </w:rPr>
      </w:pPr>
      <w:r w:rsidRPr="000A5E3A">
        <w:rPr>
          <w:rFonts w:ascii="Arial" w:eastAsia="Times New Roman" w:hAnsi="Arial" w:cs="Arial"/>
        </w:rPr>
        <w:t>How should spectrum be structured to enable safe and efficient sharing across transportation zones (rail, road, aviation), and what safeguards are required to prevent harmful interference between vertical industries?</w:t>
      </w:r>
    </w:p>
    <w:p w14:paraId="66DD8EE3" w14:textId="3EF24F9B" w:rsidR="00997597" w:rsidRPr="000A5E3A" w:rsidRDefault="00997597" w:rsidP="00997597">
      <w:pPr>
        <w:spacing w:before="100" w:beforeAutospacing="1" w:after="100" w:afterAutospacing="1"/>
        <w:rPr>
          <w:rFonts w:ascii="Arial" w:eastAsia="Times New Roman" w:hAnsi="Arial" w:cs="Arial"/>
          <w:bCs/>
        </w:rPr>
      </w:pPr>
      <w:r w:rsidRPr="000A5E3A">
        <w:rPr>
          <w:rFonts w:ascii="Arial" w:eastAsia="Times New Roman" w:hAnsi="Arial" w:cs="Arial"/>
          <w:b/>
        </w:rPr>
        <w:t>Huawei Response</w:t>
      </w:r>
      <w:r w:rsidRPr="000A5E3A">
        <w:rPr>
          <w:rFonts w:ascii="Arial" w:eastAsia="Times New Roman" w:hAnsi="Arial" w:cs="Arial"/>
          <w:bCs/>
        </w:rPr>
        <w:t>:</w:t>
      </w:r>
    </w:p>
    <w:p w14:paraId="3C10B5A4" w14:textId="2E91797D" w:rsidR="00997597" w:rsidRPr="000A5E3A" w:rsidRDefault="00997597" w:rsidP="00997597">
      <w:pPr>
        <w:rPr>
          <w:rFonts w:ascii="Arial" w:hAnsi="Arial" w:cs="Arial"/>
          <w:u w:val="single"/>
        </w:rPr>
      </w:pPr>
      <w:r w:rsidRPr="000A5E3A">
        <w:rPr>
          <w:rFonts w:ascii="Arial" w:hAnsi="Arial" w:cs="Arial"/>
          <w:u w:val="single"/>
        </w:rPr>
        <w:t>Railways and Aviation (Mission-Critical Sectors)</w:t>
      </w:r>
    </w:p>
    <w:p w14:paraId="10284863" w14:textId="4B77965F" w:rsidR="00997597" w:rsidRPr="000A5E3A" w:rsidRDefault="00997597" w:rsidP="00B3790C">
      <w:pPr>
        <w:ind w:left="360"/>
        <w:rPr>
          <w:rFonts w:ascii="Arial" w:hAnsi="Arial" w:cs="Arial"/>
        </w:rPr>
      </w:pPr>
      <w:r w:rsidRPr="000A5E3A">
        <w:rPr>
          <w:rFonts w:ascii="Arial" w:hAnsi="Arial" w:cs="Arial"/>
        </w:rPr>
        <w:t xml:space="preserve">These industries depend on </w:t>
      </w:r>
      <w:r w:rsidRPr="000A5E3A">
        <w:rPr>
          <w:rFonts w:ascii="Arial" w:hAnsi="Arial" w:cs="Arial"/>
          <w:b/>
          <w:bCs/>
        </w:rPr>
        <w:t>highly reliable, safety-critical communications</w:t>
      </w:r>
      <w:r w:rsidRPr="000A5E3A">
        <w:rPr>
          <w:rFonts w:ascii="Arial" w:hAnsi="Arial" w:cs="Arial"/>
        </w:rPr>
        <w:t xml:space="preserve"> (e.g., train control, signaling, flight operations, air traffic management).</w:t>
      </w:r>
      <w:r w:rsidR="001F58E0" w:rsidRPr="000A5E3A">
        <w:rPr>
          <w:rFonts w:ascii="Arial" w:hAnsi="Arial" w:cs="Arial"/>
        </w:rPr>
        <w:t xml:space="preserve"> </w:t>
      </w:r>
      <w:r w:rsidRPr="000A5E3A">
        <w:rPr>
          <w:rFonts w:ascii="Arial" w:hAnsi="Arial" w:cs="Arial"/>
        </w:rPr>
        <w:t xml:space="preserve">Any interference or delay in communication could directly impact </w:t>
      </w:r>
      <w:r w:rsidRPr="000A5E3A">
        <w:rPr>
          <w:rFonts w:ascii="Arial" w:hAnsi="Arial" w:cs="Arial"/>
          <w:b/>
          <w:bCs/>
        </w:rPr>
        <w:t xml:space="preserve">passenger safety, operational </w:t>
      </w:r>
      <w:r w:rsidRPr="000A5E3A">
        <w:rPr>
          <w:rFonts w:ascii="Arial" w:hAnsi="Arial" w:cs="Arial"/>
          <w:b/>
          <w:bCs/>
        </w:rPr>
        <w:lastRenderedPageBreak/>
        <w:t>integrity, and national security</w:t>
      </w:r>
      <w:r w:rsidRPr="000A5E3A">
        <w:rPr>
          <w:rFonts w:ascii="Arial" w:hAnsi="Arial" w:cs="Arial"/>
        </w:rPr>
        <w:t>.</w:t>
      </w:r>
      <w:r w:rsidR="001F58E0" w:rsidRPr="000A5E3A">
        <w:rPr>
          <w:rFonts w:ascii="Arial" w:hAnsi="Arial" w:cs="Arial"/>
        </w:rPr>
        <w:t xml:space="preserve"> </w:t>
      </w:r>
      <w:r w:rsidRPr="000A5E3A">
        <w:rPr>
          <w:rFonts w:ascii="Arial" w:hAnsi="Arial" w:cs="Arial"/>
        </w:rPr>
        <w:t xml:space="preserve">Globally, there is </w:t>
      </w:r>
      <w:r w:rsidRPr="000A5E3A">
        <w:rPr>
          <w:rFonts w:ascii="Arial" w:hAnsi="Arial" w:cs="Arial"/>
          <w:b/>
          <w:bCs/>
        </w:rPr>
        <w:t>no precedent for spectrum sharing</w:t>
      </w:r>
      <w:r w:rsidRPr="000A5E3A">
        <w:rPr>
          <w:rFonts w:ascii="Arial" w:hAnsi="Arial" w:cs="Arial"/>
        </w:rPr>
        <w:t xml:space="preserve"> in these sectors because shared use introduces risks of harmful interference and undermines reliability.</w:t>
      </w:r>
    </w:p>
    <w:p w14:paraId="3CEF5D75" w14:textId="77777777" w:rsidR="00997597" w:rsidRPr="000A5E3A" w:rsidRDefault="00997597" w:rsidP="00B3790C">
      <w:pPr>
        <w:pStyle w:val="ListParagraph"/>
        <w:ind w:left="482" w:firstLineChars="0" w:firstLine="0"/>
        <w:rPr>
          <w:rFonts w:ascii="Arial" w:hAnsi="Arial" w:cs="Arial"/>
          <w:b/>
          <w:bCs/>
        </w:rPr>
      </w:pPr>
    </w:p>
    <w:p w14:paraId="746DA839" w14:textId="2D427F70" w:rsidR="00997597" w:rsidRPr="000A5E3A" w:rsidRDefault="00997597" w:rsidP="00B3790C">
      <w:pPr>
        <w:ind w:left="360"/>
        <w:rPr>
          <w:rFonts w:ascii="Arial" w:hAnsi="Arial" w:cs="Arial"/>
        </w:rPr>
      </w:pPr>
      <w:r w:rsidRPr="000A5E3A">
        <w:rPr>
          <w:rFonts w:ascii="Arial" w:hAnsi="Arial" w:cs="Arial"/>
          <w:b/>
          <w:bCs/>
        </w:rPr>
        <w:t>Recommendation:</w:t>
      </w:r>
      <w:r w:rsidRPr="000A5E3A">
        <w:rPr>
          <w:rFonts w:ascii="Arial" w:hAnsi="Arial" w:cs="Arial"/>
        </w:rPr>
        <w:t xml:space="preserve"> Railways and aviation must be allocated </w:t>
      </w:r>
      <w:r w:rsidRPr="000A5E3A">
        <w:rPr>
          <w:rFonts w:ascii="Arial" w:hAnsi="Arial" w:cs="Arial"/>
          <w:b/>
          <w:bCs/>
        </w:rPr>
        <w:t>dedicated spectrum and dedicated networks</w:t>
      </w:r>
      <w:r w:rsidRPr="000A5E3A">
        <w:rPr>
          <w:rFonts w:ascii="Arial" w:hAnsi="Arial" w:cs="Arial"/>
        </w:rPr>
        <w:t>, ensuring exclusive use and uncompromised safety.</w:t>
      </w:r>
    </w:p>
    <w:p w14:paraId="4A0FC80A" w14:textId="77777777" w:rsidR="00997597" w:rsidRPr="000A5E3A" w:rsidRDefault="00997597" w:rsidP="0025420D">
      <w:pPr>
        <w:rPr>
          <w:rFonts w:ascii="Arial" w:hAnsi="Arial" w:cs="Arial"/>
        </w:rPr>
      </w:pPr>
    </w:p>
    <w:p w14:paraId="5A7A0B83" w14:textId="7DE5FAF0" w:rsidR="00997597" w:rsidRPr="000A5E3A" w:rsidRDefault="00997597" w:rsidP="00997597">
      <w:pPr>
        <w:rPr>
          <w:rFonts w:ascii="Arial" w:hAnsi="Arial" w:cs="Arial"/>
          <w:u w:val="single"/>
        </w:rPr>
      </w:pPr>
      <w:r w:rsidRPr="000A5E3A">
        <w:rPr>
          <w:rFonts w:ascii="Arial" w:hAnsi="Arial" w:cs="Arial"/>
          <w:u w:val="single"/>
        </w:rPr>
        <w:t>Safeguards Against Harmful Interference</w:t>
      </w:r>
    </w:p>
    <w:p w14:paraId="17187F4D" w14:textId="77777777" w:rsidR="00997597" w:rsidRPr="000A5E3A" w:rsidRDefault="00997597" w:rsidP="00997597">
      <w:pPr>
        <w:numPr>
          <w:ilvl w:val="0"/>
          <w:numId w:val="19"/>
        </w:numPr>
        <w:rPr>
          <w:rFonts w:ascii="Arial" w:hAnsi="Arial" w:cs="Arial"/>
        </w:rPr>
      </w:pPr>
      <w:r w:rsidRPr="000A5E3A">
        <w:rPr>
          <w:rFonts w:ascii="Arial" w:hAnsi="Arial" w:cs="Arial"/>
          <w:b/>
          <w:bCs/>
        </w:rPr>
        <w:t>Rail and Aviation:</w:t>
      </w:r>
      <w:r w:rsidRPr="000A5E3A">
        <w:rPr>
          <w:rFonts w:ascii="Arial" w:hAnsi="Arial" w:cs="Arial"/>
        </w:rPr>
        <w:t xml:space="preserve"> Strictly avoid sharing; enforce </w:t>
      </w:r>
      <w:r w:rsidRPr="000A5E3A">
        <w:rPr>
          <w:rFonts w:ascii="Arial" w:hAnsi="Arial" w:cs="Arial"/>
          <w:b/>
          <w:bCs/>
        </w:rPr>
        <w:t>dedicated allocations</w:t>
      </w:r>
      <w:r w:rsidRPr="000A5E3A">
        <w:rPr>
          <w:rFonts w:ascii="Arial" w:hAnsi="Arial" w:cs="Arial"/>
        </w:rPr>
        <w:t xml:space="preserve"> to protect mission-critical operations.</w:t>
      </w:r>
    </w:p>
    <w:p w14:paraId="21D8773B" w14:textId="77777777" w:rsidR="00997597" w:rsidRPr="000A5E3A" w:rsidRDefault="00997597" w:rsidP="00997597">
      <w:pPr>
        <w:numPr>
          <w:ilvl w:val="0"/>
          <w:numId w:val="19"/>
        </w:numPr>
        <w:rPr>
          <w:rFonts w:ascii="Arial" w:hAnsi="Arial" w:cs="Arial"/>
        </w:rPr>
      </w:pPr>
      <w:r w:rsidRPr="000A5E3A">
        <w:rPr>
          <w:rFonts w:ascii="Arial" w:hAnsi="Arial" w:cs="Arial"/>
          <w:b/>
          <w:bCs/>
        </w:rPr>
        <w:t>Road Networks:</w:t>
      </w:r>
      <w:r w:rsidRPr="000A5E3A">
        <w:rPr>
          <w:rFonts w:ascii="Arial" w:hAnsi="Arial" w:cs="Arial"/>
        </w:rPr>
        <w:t xml:space="preserve"> Allow shared use, but ensure compliance with </w:t>
      </w:r>
      <w:r w:rsidRPr="000A5E3A">
        <w:rPr>
          <w:rFonts w:ascii="Arial" w:hAnsi="Arial" w:cs="Arial"/>
          <w:b/>
          <w:bCs/>
        </w:rPr>
        <w:t>3GPP standards</w:t>
      </w:r>
      <w:r w:rsidRPr="000A5E3A">
        <w:rPr>
          <w:rFonts w:ascii="Arial" w:hAnsi="Arial" w:cs="Arial"/>
        </w:rPr>
        <w:t xml:space="preserve"> to maintain interoperability and minimize interference.</w:t>
      </w:r>
    </w:p>
    <w:p w14:paraId="0862C623" w14:textId="77777777" w:rsidR="00997597" w:rsidRPr="000A5E3A" w:rsidRDefault="00997597" w:rsidP="00997597">
      <w:pPr>
        <w:numPr>
          <w:ilvl w:val="0"/>
          <w:numId w:val="19"/>
        </w:numPr>
        <w:rPr>
          <w:rFonts w:ascii="Arial" w:hAnsi="Arial" w:cs="Arial"/>
        </w:rPr>
      </w:pPr>
      <w:r w:rsidRPr="000A5E3A">
        <w:rPr>
          <w:rFonts w:ascii="Arial" w:hAnsi="Arial" w:cs="Arial"/>
          <w:b/>
          <w:bCs/>
        </w:rPr>
        <w:t>Cross-Sector Coordination:</w:t>
      </w:r>
      <w:r w:rsidRPr="000A5E3A">
        <w:rPr>
          <w:rFonts w:ascii="Arial" w:hAnsi="Arial" w:cs="Arial"/>
        </w:rPr>
        <w:t xml:space="preserve"> Regulators should establish clear </w:t>
      </w:r>
      <w:r w:rsidRPr="000A5E3A">
        <w:rPr>
          <w:rFonts w:ascii="Arial" w:hAnsi="Arial" w:cs="Arial"/>
          <w:b/>
          <w:bCs/>
        </w:rPr>
        <w:t>spectrum boundaries and technical conditions</w:t>
      </w:r>
      <w:r w:rsidRPr="000A5E3A">
        <w:rPr>
          <w:rFonts w:ascii="Arial" w:hAnsi="Arial" w:cs="Arial"/>
        </w:rPr>
        <w:t xml:space="preserve"> to prevent overlap between vertical industries.</w:t>
      </w:r>
    </w:p>
    <w:p w14:paraId="47F826B5" w14:textId="77777777" w:rsidR="0025420D" w:rsidRPr="000A5E3A" w:rsidRDefault="0025420D" w:rsidP="00997597">
      <w:pPr>
        <w:spacing w:before="100" w:beforeAutospacing="1" w:after="100" w:afterAutospacing="1"/>
        <w:rPr>
          <w:rFonts w:ascii="Arial" w:eastAsia="Times New Roman" w:hAnsi="Arial" w:cs="Arial"/>
          <w:b/>
          <w:color w:val="FF0000"/>
        </w:rPr>
      </w:pPr>
    </w:p>
    <w:p w14:paraId="6A846E8E" w14:textId="45D0A968" w:rsidR="003A217E" w:rsidRPr="000A5E3A" w:rsidRDefault="003A217E" w:rsidP="00997597">
      <w:pPr>
        <w:spacing w:before="100" w:beforeAutospacing="1" w:after="100" w:afterAutospacing="1"/>
        <w:rPr>
          <w:rFonts w:ascii="Arial" w:eastAsia="Times New Roman" w:hAnsi="Arial" w:cs="Arial"/>
          <w:b/>
          <w:color w:val="FF0000"/>
        </w:rPr>
      </w:pPr>
      <w:r w:rsidRPr="000A5E3A">
        <w:rPr>
          <w:rFonts w:ascii="Arial" w:eastAsia="Times New Roman" w:hAnsi="Arial" w:cs="Arial"/>
          <w:b/>
          <w:color w:val="FF0000"/>
        </w:rPr>
        <w:t xml:space="preserve">Additional </w:t>
      </w:r>
      <w:r w:rsidR="00060EED" w:rsidRPr="000A5E3A">
        <w:rPr>
          <w:rFonts w:ascii="Arial" w:eastAsia="Times New Roman" w:hAnsi="Arial" w:cs="Arial"/>
          <w:b/>
          <w:color w:val="FF0000"/>
        </w:rPr>
        <w:t>representations with regards to the 6425-7125 MHz band</w:t>
      </w:r>
    </w:p>
    <w:p w14:paraId="6D8B8BA0" w14:textId="097B4D5B" w:rsidR="00D13D46" w:rsidRPr="000A5E3A" w:rsidRDefault="00997597" w:rsidP="00997597">
      <w:pPr>
        <w:spacing w:before="100" w:beforeAutospacing="1" w:after="100" w:afterAutospacing="1"/>
        <w:rPr>
          <w:rFonts w:ascii="Arial" w:eastAsia="Times New Roman" w:hAnsi="Arial" w:cs="Arial"/>
        </w:rPr>
      </w:pPr>
      <w:r w:rsidRPr="000A5E3A">
        <w:rPr>
          <w:rFonts w:ascii="Arial" w:eastAsia="Times New Roman" w:hAnsi="Arial" w:cs="Arial"/>
        </w:rPr>
        <w:t>South Africa ha</w:t>
      </w:r>
      <w:r w:rsidR="00060EED" w:rsidRPr="000A5E3A">
        <w:rPr>
          <w:rFonts w:ascii="Arial" w:eastAsia="Times New Roman" w:hAnsi="Arial" w:cs="Arial"/>
        </w:rPr>
        <w:t>s</w:t>
      </w:r>
      <w:r w:rsidRPr="000A5E3A">
        <w:rPr>
          <w:rFonts w:ascii="Arial" w:eastAsia="Times New Roman" w:hAnsi="Arial" w:cs="Arial"/>
        </w:rPr>
        <w:t xml:space="preserve"> a longstanding leadership in advocating for IMT identification in this band</w:t>
      </w:r>
      <w:r w:rsidR="00060EED" w:rsidRPr="000A5E3A">
        <w:rPr>
          <w:rFonts w:ascii="Arial" w:eastAsia="Times New Roman" w:hAnsi="Arial" w:cs="Arial"/>
        </w:rPr>
        <w:t>. This is in connection to the country´s</w:t>
      </w:r>
      <w:r w:rsidRPr="000A5E3A">
        <w:rPr>
          <w:rFonts w:ascii="Arial" w:eastAsia="Times New Roman" w:hAnsi="Arial" w:cs="Arial"/>
        </w:rPr>
        <w:t xml:space="preserve"> commitment to advancing broadband capacity, network modernization, and national digital transformation, </w:t>
      </w:r>
      <w:r w:rsidR="00060EED" w:rsidRPr="000A5E3A">
        <w:rPr>
          <w:rFonts w:ascii="Arial" w:eastAsia="Times New Roman" w:hAnsi="Arial" w:cs="Arial"/>
        </w:rPr>
        <w:t xml:space="preserve">as </w:t>
      </w:r>
      <w:r w:rsidRPr="000A5E3A">
        <w:rPr>
          <w:rFonts w:ascii="Arial" w:eastAsia="Times New Roman" w:hAnsi="Arial" w:cs="Arial"/>
        </w:rPr>
        <w:t>demonstrated during the WRC-23.</w:t>
      </w:r>
      <w:r w:rsidR="001F58E0" w:rsidRPr="000A5E3A">
        <w:rPr>
          <w:rFonts w:ascii="Arial" w:eastAsia="Times New Roman" w:hAnsi="Arial" w:cs="Arial"/>
        </w:rPr>
        <w:t xml:space="preserve"> </w:t>
      </w:r>
      <w:r w:rsidRPr="000A5E3A">
        <w:rPr>
          <w:rFonts w:ascii="Arial" w:eastAsia="Times New Roman" w:hAnsi="Arial" w:cs="Arial"/>
        </w:rPr>
        <w:t xml:space="preserve">With mobile data demand rising rapidly, the Upper 6 GHz band provides a critical opportunity to enhance 5G capacity and build the foundation for 6G. Against this backdrop, the </w:t>
      </w:r>
      <w:r w:rsidR="00060EED" w:rsidRPr="000A5E3A">
        <w:rPr>
          <w:rFonts w:ascii="Arial" w:eastAsia="Times New Roman" w:hAnsi="Arial" w:cs="Arial"/>
        </w:rPr>
        <w:t xml:space="preserve">proposal to </w:t>
      </w:r>
      <w:r w:rsidRPr="000A5E3A">
        <w:rPr>
          <w:rFonts w:ascii="Arial" w:eastAsia="Times New Roman" w:hAnsi="Arial" w:cs="Arial"/>
        </w:rPr>
        <w:t>introduc</w:t>
      </w:r>
      <w:r w:rsidR="00060EED" w:rsidRPr="000A5E3A">
        <w:rPr>
          <w:rFonts w:ascii="Arial" w:eastAsia="Times New Roman" w:hAnsi="Arial" w:cs="Arial"/>
        </w:rPr>
        <w:t>e</w:t>
      </w:r>
      <w:r w:rsidRPr="000A5E3A">
        <w:rPr>
          <w:rFonts w:ascii="Arial" w:eastAsia="Times New Roman" w:hAnsi="Arial" w:cs="Arial"/>
        </w:rPr>
        <w:t xml:space="preserve"> the WAS/RLAN </w:t>
      </w:r>
      <w:r w:rsidR="00060EED" w:rsidRPr="000A5E3A">
        <w:rPr>
          <w:rFonts w:ascii="Arial" w:eastAsia="Times New Roman" w:hAnsi="Arial" w:cs="Arial"/>
        </w:rPr>
        <w:t xml:space="preserve">in the NRFP </w:t>
      </w:r>
      <w:r w:rsidRPr="000A5E3A">
        <w:rPr>
          <w:rFonts w:ascii="Arial" w:eastAsia="Times New Roman" w:hAnsi="Arial" w:cs="Arial"/>
        </w:rPr>
        <w:t xml:space="preserve">as a typical application across 6 425–7 125 MHz </w:t>
      </w:r>
      <w:r w:rsidR="001F58E0" w:rsidRPr="000A5E3A">
        <w:rPr>
          <w:rFonts w:ascii="Arial" w:eastAsia="Times New Roman" w:hAnsi="Arial" w:cs="Arial"/>
        </w:rPr>
        <w:t>comes as</w:t>
      </w:r>
      <w:r w:rsidR="00060EED" w:rsidRPr="000A5E3A">
        <w:rPr>
          <w:rFonts w:ascii="Arial" w:eastAsia="Times New Roman" w:hAnsi="Arial" w:cs="Arial"/>
        </w:rPr>
        <w:t xml:space="preserve"> a surprise and</w:t>
      </w:r>
      <w:r w:rsidR="001F58E0" w:rsidRPr="000A5E3A">
        <w:rPr>
          <w:rFonts w:ascii="Arial" w:eastAsia="Times New Roman" w:hAnsi="Arial" w:cs="Arial"/>
        </w:rPr>
        <w:t xml:space="preserve"> is</w:t>
      </w:r>
      <w:r w:rsidR="00060EED" w:rsidRPr="000A5E3A">
        <w:rPr>
          <w:rFonts w:ascii="Arial" w:eastAsia="Times New Roman" w:hAnsi="Arial" w:cs="Arial"/>
        </w:rPr>
        <w:t xml:space="preserve">, in our view, a mistake. </w:t>
      </w:r>
      <w:r w:rsidR="00D13D46" w:rsidRPr="000A5E3A">
        <w:rPr>
          <w:rFonts w:ascii="Arial" w:eastAsia="Times New Roman" w:hAnsi="Arial" w:cs="Arial"/>
        </w:rPr>
        <w:t>We develop our arguments below:</w:t>
      </w:r>
    </w:p>
    <w:p w14:paraId="2466DEE1" w14:textId="77777777" w:rsidR="00185FAA" w:rsidRPr="000A5E3A" w:rsidRDefault="00185FAA" w:rsidP="00185FAA">
      <w:pPr>
        <w:spacing w:before="100" w:beforeAutospacing="1" w:after="100" w:afterAutospacing="1"/>
        <w:rPr>
          <w:rFonts w:ascii="Arial" w:eastAsia="Times New Roman" w:hAnsi="Arial" w:cs="Arial"/>
          <w:b/>
          <w:bCs/>
          <w:u w:val="single"/>
        </w:rPr>
      </w:pPr>
      <w:r w:rsidRPr="000A5E3A">
        <w:rPr>
          <w:rFonts w:ascii="Arial" w:eastAsia="Times New Roman" w:hAnsi="Arial" w:cs="Arial"/>
          <w:b/>
          <w:bCs/>
          <w:u w:val="single"/>
        </w:rPr>
        <w:t>Regulatory considerations</w:t>
      </w:r>
    </w:p>
    <w:p w14:paraId="19811676" w14:textId="77777777" w:rsidR="00185FAA" w:rsidRPr="000A5E3A" w:rsidRDefault="00185FAA" w:rsidP="00185FAA">
      <w:pPr>
        <w:spacing w:before="100" w:beforeAutospacing="1" w:after="100" w:afterAutospacing="1"/>
        <w:rPr>
          <w:rFonts w:ascii="Arial" w:eastAsia="Times New Roman" w:hAnsi="Arial" w:cs="Arial"/>
          <w:b/>
          <w:bCs/>
        </w:rPr>
      </w:pPr>
      <w:r w:rsidRPr="000A5E3A">
        <w:rPr>
          <w:rFonts w:ascii="Arial" w:eastAsia="Times New Roman" w:hAnsi="Arial" w:cs="Arial"/>
          <w:b/>
          <w:bCs/>
        </w:rPr>
        <w:t>RLAN status in 6425-7125 MHz in the ITU Radio Regulations</w:t>
      </w:r>
    </w:p>
    <w:p w14:paraId="0847739A" w14:textId="77777777" w:rsidR="00185FAA" w:rsidRPr="000A5E3A" w:rsidRDefault="00185FAA" w:rsidP="00185FAA">
      <w:pPr>
        <w:spacing w:before="100" w:beforeAutospacing="1" w:after="100" w:afterAutospacing="1"/>
        <w:rPr>
          <w:rFonts w:ascii="Arial" w:eastAsia="Times New Roman" w:hAnsi="Arial" w:cs="Arial"/>
        </w:rPr>
      </w:pPr>
      <w:r w:rsidRPr="000A5E3A">
        <w:rPr>
          <w:rFonts w:ascii="Arial" w:eastAsia="Times New Roman" w:hAnsi="Arial" w:cs="Arial"/>
        </w:rPr>
        <w:t>It has been argued that the ITU RR identify 6425-7125 MHz for RLANs. This is not correct. Footnote 5.457E mentions RLANs as follows:</w:t>
      </w:r>
    </w:p>
    <w:p w14:paraId="565877DE" w14:textId="77777777" w:rsidR="00185FAA" w:rsidRPr="000A5E3A" w:rsidRDefault="00185FAA" w:rsidP="00185FAA">
      <w:pPr>
        <w:spacing w:before="100" w:beforeAutospacing="1" w:after="100" w:afterAutospacing="1"/>
        <w:ind w:left="851" w:right="429"/>
        <w:jc w:val="both"/>
        <w:rPr>
          <w:rFonts w:ascii="Arial" w:eastAsia="Times New Roman" w:hAnsi="Arial" w:cs="Arial"/>
          <w:b/>
          <w:bCs/>
          <w:i/>
          <w:iCs/>
        </w:rPr>
      </w:pPr>
      <w:r w:rsidRPr="000A5E3A">
        <w:rPr>
          <w:rFonts w:ascii="Arial" w:eastAsia="Times New Roman" w:hAnsi="Arial" w:cs="Arial"/>
          <w:i/>
          <w:iCs/>
        </w:rPr>
        <w:t xml:space="preserve">5.457E The frequency bands 6 425-7 125 MHz in Region 1 and 7 025-7 125 MHz in Region 3 are identified for use by administrations wishing to implement the terrestrial component of International Mobile Telecommunications (IMT). This identification does not preclude the use of these frequency bands by any application of the services to which they are allocated and does not establish priority in the Radio Regulations. Resolution 220 (WRC-23) applies. </w:t>
      </w:r>
      <w:r w:rsidRPr="000A5E3A">
        <w:rPr>
          <w:rFonts w:ascii="Arial" w:eastAsia="Times New Roman" w:hAnsi="Arial" w:cs="Arial"/>
          <w:b/>
          <w:bCs/>
          <w:i/>
          <w:iCs/>
        </w:rPr>
        <w:t xml:space="preserve">The frequency bands are also used for the </w:t>
      </w:r>
      <w:r w:rsidRPr="000A5E3A">
        <w:rPr>
          <w:rFonts w:ascii="Arial" w:eastAsia="Times New Roman" w:hAnsi="Arial" w:cs="Arial"/>
          <w:b/>
          <w:bCs/>
          <w:i/>
          <w:iCs/>
        </w:rPr>
        <w:lastRenderedPageBreak/>
        <w:t>implementation of wireless access systems (WAS), including radio local area networks (RLANs). (WRC-23)</w:t>
      </w:r>
    </w:p>
    <w:p w14:paraId="38D59460" w14:textId="7F11A5C7" w:rsidR="00185FAA" w:rsidRPr="000A5E3A" w:rsidRDefault="001F58E0" w:rsidP="00185FAA">
      <w:pPr>
        <w:spacing w:before="100" w:beforeAutospacing="1" w:after="100" w:afterAutospacing="1"/>
        <w:rPr>
          <w:rFonts w:ascii="Arial" w:eastAsia="Times New Roman" w:hAnsi="Arial" w:cs="Arial"/>
        </w:rPr>
      </w:pPr>
      <w:r w:rsidRPr="000A5E3A">
        <w:rPr>
          <w:rFonts w:ascii="Arial" w:eastAsia="Times New Roman" w:hAnsi="Arial" w:cs="Arial"/>
        </w:rPr>
        <w:t>This f</w:t>
      </w:r>
      <w:r w:rsidR="00185FAA" w:rsidRPr="000A5E3A">
        <w:rPr>
          <w:rFonts w:ascii="Arial" w:eastAsia="Times New Roman" w:hAnsi="Arial" w:cs="Arial"/>
        </w:rPr>
        <w:t xml:space="preserve">ootnote does not introduce an alternative identification, allocation or recommendation in 6425-7125 MHz for RLANs – it simply recognizes that some countries in </w:t>
      </w:r>
      <w:r w:rsidR="00B3790C" w:rsidRPr="000A5E3A">
        <w:rPr>
          <w:rFonts w:ascii="Arial" w:eastAsia="Times New Roman" w:hAnsi="Arial" w:cs="Arial"/>
        </w:rPr>
        <w:t>regions</w:t>
      </w:r>
      <w:r w:rsidRPr="000A5E3A">
        <w:rPr>
          <w:rFonts w:ascii="Arial" w:eastAsia="Times New Roman" w:hAnsi="Arial" w:cs="Arial"/>
        </w:rPr>
        <w:t xml:space="preserve"> </w:t>
      </w:r>
      <w:r w:rsidR="00185FAA" w:rsidRPr="000A5E3A">
        <w:rPr>
          <w:rFonts w:ascii="Arial" w:eastAsia="Times New Roman" w:hAnsi="Arial" w:cs="Arial"/>
        </w:rPr>
        <w:t>1 and 3 already use the band for RLANs (Saudi Arabia, Korea). These countries had already assigned the band to RLANs before WRC-23. They requested, at WRC-23, that the R</w:t>
      </w:r>
      <w:r w:rsidRPr="000A5E3A">
        <w:rPr>
          <w:rFonts w:ascii="Arial" w:eastAsia="Times New Roman" w:hAnsi="Arial" w:cs="Arial"/>
        </w:rPr>
        <w:t xml:space="preserve">adio </w:t>
      </w:r>
      <w:r w:rsidR="00185FAA" w:rsidRPr="000A5E3A">
        <w:rPr>
          <w:rFonts w:ascii="Arial" w:eastAsia="Times New Roman" w:hAnsi="Arial" w:cs="Arial"/>
        </w:rPr>
        <w:t>R</w:t>
      </w:r>
      <w:r w:rsidRPr="000A5E3A">
        <w:rPr>
          <w:rFonts w:ascii="Arial" w:eastAsia="Times New Roman" w:hAnsi="Arial" w:cs="Arial"/>
        </w:rPr>
        <w:t>egulations</w:t>
      </w:r>
      <w:r w:rsidR="00185FAA" w:rsidRPr="000A5E3A">
        <w:rPr>
          <w:rFonts w:ascii="Arial" w:eastAsia="Times New Roman" w:hAnsi="Arial" w:cs="Arial"/>
        </w:rPr>
        <w:t xml:space="preserve"> reflect the fact that their existing national usage diverges from the IMT identification </w:t>
      </w:r>
      <w:r w:rsidRPr="000A5E3A">
        <w:rPr>
          <w:rFonts w:ascii="Arial" w:eastAsia="Times New Roman" w:hAnsi="Arial" w:cs="Arial"/>
        </w:rPr>
        <w:t>agreed at the WRC</w:t>
      </w:r>
      <w:r w:rsidR="00185FAA" w:rsidRPr="000A5E3A">
        <w:rPr>
          <w:rFonts w:ascii="Arial" w:eastAsia="Times New Roman" w:hAnsi="Arial" w:cs="Arial"/>
        </w:rPr>
        <w:t xml:space="preserve">. This is </w:t>
      </w:r>
      <w:r w:rsidRPr="000A5E3A">
        <w:rPr>
          <w:rFonts w:ascii="Arial" w:eastAsia="Times New Roman" w:hAnsi="Arial" w:cs="Arial"/>
        </w:rPr>
        <w:t xml:space="preserve">not </w:t>
      </w:r>
      <w:r w:rsidR="00185FAA" w:rsidRPr="000A5E3A">
        <w:rPr>
          <w:rFonts w:ascii="Arial" w:eastAsia="Times New Roman" w:hAnsi="Arial" w:cs="Arial"/>
        </w:rPr>
        <w:t>a</w:t>
      </w:r>
      <w:r w:rsidRPr="000A5E3A">
        <w:rPr>
          <w:rFonts w:ascii="Arial" w:eastAsia="Times New Roman" w:hAnsi="Arial" w:cs="Arial"/>
        </w:rPr>
        <w:t>n</w:t>
      </w:r>
      <w:r w:rsidR="00185FAA" w:rsidRPr="000A5E3A">
        <w:rPr>
          <w:rFonts w:ascii="Arial" w:eastAsia="Times New Roman" w:hAnsi="Arial" w:cs="Arial"/>
        </w:rPr>
        <w:t xml:space="preserve"> </w:t>
      </w:r>
      <w:r w:rsidRPr="000A5E3A">
        <w:rPr>
          <w:rFonts w:ascii="Arial" w:eastAsia="Times New Roman" w:hAnsi="Arial" w:cs="Arial"/>
        </w:rPr>
        <w:t>un</w:t>
      </w:r>
      <w:r w:rsidR="00185FAA" w:rsidRPr="000A5E3A">
        <w:rPr>
          <w:rFonts w:ascii="Arial" w:eastAsia="Times New Roman" w:hAnsi="Arial" w:cs="Arial"/>
        </w:rPr>
        <w:t xml:space="preserve">usual situation at a </w:t>
      </w:r>
      <w:r w:rsidRPr="000A5E3A">
        <w:rPr>
          <w:rFonts w:ascii="Arial" w:eastAsia="Times New Roman" w:hAnsi="Arial" w:cs="Arial"/>
        </w:rPr>
        <w:t>Conference</w:t>
      </w:r>
      <w:r w:rsidR="00185FAA" w:rsidRPr="000A5E3A">
        <w:rPr>
          <w:rFonts w:ascii="Arial" w:eastAsia="Times New Roman" w:hAnsi="Arial" w:cs="Arial"/>
        </w:rPr>
        <w:t>, and the solution adopted in 2023 (“the frequency bands are also used for…”) is in line with past WRC decisions. In conclusion, WRC-23 did not identify the band for RLANs, and footnote 5.457E simply recognizes existing uses in certain countries.</w:t>
      </w:r>
    </w:p>
    <w:p w14:paraId="369FD889" w14:textId="77777777" w:rsidR="00185FAA" w:rsidRPr="000A5E3A" w:rsidRDefault="00185FAA" w:rsidP="00185FAA">
      <w:pPr>
        <w:spacing w:before="100" w:beforeAutospacing="1" w:after="100" w:afterAutospacing="1"/>
        <w:rPr>
          <w:rFonts w:ascii="Arial" w:eastAsia="Times New Roman" w:hAnsi="Arial" w:cs="Arial"/>
          <w:b/>
          <w:bCs/>
        </w:rPr>
      </w:pPr>
      <w:r w:rsidRPr="000A5E3A">
        <w:rPr>
          <w:rFonts w:ascii="Arial" w:eastAsia="Times New Roman" w:hAnsi="Arial" w:cs="Arial"/>
          <w:b/>
          <w:bCs/>
        </w:rPr>
        <w:t>Regulatory certainty in South Africa</w:t>
      </w:r>
    </w:p>
    <w:p w14:paraId="2D42D603" w14:textId="01C908AC" w:rsidR="00185FAA" w:rsidRPr="000A5E3A" w:rsidRDefault="00185FAA" w:rsidP="00185FAA">
      <w:pPr>
        <w:spacing w:before="100" w:beforeAutospacing="1" w:after="100" w:afterAutospacing="1"/>
        <w:rPr>
          <w:rFonts w:ascii="Arial" w:eastAsia="Times New Roman" w:hAnsi="Arial" w:cs="Arial"/>
        </w:rPr>
      </w:pPr>
      <w:r w:rsidRPr="000A5E3A">
        <w:rPr>
          <w:rFonts w:ascii="Arial" w:eastAsia="Times New Roman" w:hAnsi="Arial" w:cs="Arial"/>
        </w:rPr>
        <w:t xml:space="preserve">We note that ICASA has not consulted on introduction of RLAN in 6425-7125 MHz while there was a formal consultative process for the introduction of RLAN in 5925-7125 </w:t>
      </w:r>
      <w:proofErr w:type="spellStart"/>
      <w:r w:rsidRPr="000A5E3A">
        <w:rPr>
          <w:rFonts w:ascii="Arial" w:eastAsia="Times New Roman" w:hAnsi="Arial" w:cs="Arial"/>
        </w:rPr>
        <w:t>MHz.</w:t>
      </w:r>
      <w:proofErr w:type="spellEnd"/>
      <w:r w:rsidRPr="000A5E3A">
        <w:rPr>
          <w:rFonts w:ascii="Arial" w:eastAsia="Times New Roman" w:hAnsi="Arial" w:cs="Arial"/>
        </w:rPr>
        <w:t xml:space="preserve"> In December 2022, ICASA published a Notice of intention to amend Annexure B of the Radio Frequency Spectrum Regulations</w:t>
      </w:r>
      <w:r w:rsidR="001F58E0" w:rsidRPr="000A5E3A">
        <w:rPr>
          <w:rStyle w:val="FootnoteReference"/>
          <w:rFonts w:ascii="Arial" w:eastAsia="Times New Roman" w:hAnsi="Arial" w:cs="Arial"/>
        </w:rPr>
        <w:footnoteReference w:id="5"/>
      </w:r>
      <w:r w:rsidRPr="000A5E3A">
        <w:rPr>
          <w:rFonts w:ascii="Arial" w:eastAsia="Times New Roman" w:hAnsi="Arial" w:cs="Arial"/>
        </w:rPr>
        <w:t xml:space="preserve">. This notice proposed the incorporation of the lower 6 GHz (5925 – 6425 MHz) for WAS &amp; RLAN Applications in Annexure B of the Regulations. ICASA explained at the time that the proposal would provide a much-needed boost for Wi-Fi availability and uptake, and </w:t>
      </w:r>
      <w:r w:rsidR="001F58E0" w:rsidRPr="000A5E3A">
        <w:rPr>
          <w:rFonts w:ascii="Arial" w:eastAsia="Times New Roman" w:hAnsi="Arial" w:cs="Arial"/>
        </w:rPr>
        <w:t xml:space="preserve">that </w:t>
      </w:r>
      <w:r w:rsidRPr="000A5E3A">
        <w:rPr>
          <w:rFonts w:ascii="Arial" w:eastAsia="Times New Roman" w:hAnsi="Arial" w:cs="Arial"/>
        </w:rPr>
        <w:t xml:space="preserve">it expected to enable faster data communications between devices connected to wireless infrastructure, reduce latency, improve efficiency and data throughput. The proposal was eventually implemented in the regulations </w:t>
      </w:r>
      <w:r w:rsidR="001F58E0" w:rsidRPr="000A5E3A">
        <w:rPr>
          <w:rFonts w:ascii="Arial" w:eastAsia="Times New Roman" w:hAnsi="Arial" w:cs="Arial"/>
        </w:rPr>
        <w:t>in 2023</w:t>
      </w:r>
      <w:r w:rsidR="001F58E0" w:rsidRPr="000A5E3A">
        <w:rPr>
          <w:rStyle w:val="FootnoteReference"/>
          <w:rFonts w:ascii="Arial" w:eastAsia="Times New Roman" w:hAnsi="Arial" w:cs="Arial"/>
        </w:rPr>
        <w:footnoteReference w:id="6"/>
      </w:r>
      <w:r w:rsidRPr="000A5E3A">
        <w:rPr>
          <w:rFonts w:ascii="Arial" w:eastAsia="Times New Roman" w:hAnsi="Arial" w:cs="Arial"/>
        </w:rPr>
        <w:t xml:space="preserve">. This process is in contrast with the current introduction of RLAN in the NRFP, which has not been subject to consultation and is not based on a WRC decision. </w:t>
      </w:r>
    </w:p>
    <w:p w14:paraId="2ED6C2FF" w14:textId="6CAA7167" w:rsidR="00185FAA" w:rsidRPr="000A5E3A" w:rsidRDefault="00185FAA" w:rsidP="00997597">
      <w:pPr>
        <w:spacing w:before="100" w:beforeAutospacing="1" w:after="100" w:afterAutospacing="1"/>
        <w:rPr>
          <w:rFonts w:ascii="Arial" w:eastAsia="Times New Roman" w:hAnsi="Arial" w:cs="Arial"/>
        </w:rPr>
      </w:pPr>
      <w:r w:rsidRPr="000A5E3A">
        <w:rPr>
          <w:rFonts w:ascii="Arial" w:eastAsia="Times New Roman" w:hAnsi="Arial" w:cs="Arial"/>
        </w:rPr>
        <w:t>The absence of extensive consultation is particularly important given that the established position of South Africa, before th</w:t>
      </w:r>
      <w:r w:rsidR="001F58E0" w:rsidRPr="000A5E3A">
        <w:rPr>
          <w:rFonts w:ascii="Arial" w:eastAsia="Times New Roman" w:hAnsi="Arial" w:cs="Arial"/>
        </w:rPr>
        <w:t>is</w:t>
      </w:r>
      <w:r w:rsidRPr="000A5E3A">
        <w:rPr>
          <w:rFonts w:ascii="Arial" w:eastAsia="Times New Roman" w:hAnsi="Arial" w:cs="Arial"/>
        </w:rPr>
        <w:t xml:space="preserve"> second NRFP consultation, has been supportive of exclusive IMT use. We remind that South Africa </w:t>
      </w:r>
      <w:r w:rsidR="00997597" w:rsidRPr="000A5E3A">
        <w:rPr>
          <w:rFonts w:ascii="Arial" w:eastAsia="Times New Roman" w:hAnsi="Arial" w:cs="Arial"/>
        </w:rPr>
        <w:t>together with the broader African region played a leading role in achieving IMT identification for Region 1</w:t>
      </w:r>
      <w:r w:rsidRPr="000A5E3A">
        <w:rPr>
          <w:rFonts w:ascii="Arial" w:eastAsia="Times New Roman" w:hAnsi="Arial" w:cs="Arial"/>
        </w:rPr>
        <w:t xml:space="preserve"> at WRC-23. South Africa has also been supportive of </w:t>
      </w:r>
      <w:r w:rsidR="00997597" w:rsidRPr="000A5E3A">
        <w:rPr>
          <w:rFonts w:ascii="Arial" w:eastAsia="Times New Roman" w:hAnsi="Arial" w:cs="Arial"/>
        </w:rPr>
        <w:t>ATU-R Recommendation 008-0 and the updated Africa Spectrum Allocation Plan (</w:t>
      </w:r>
      <w:proofErr w:type="spellStart"/>
      <w:r w:rsidR="00997597" w:rsidRPr="000A5E3A">
        <w:rPr>
          <w:rFonts w:ascii="Arial" w:eastAsia="Times New Roman" w:hAnsi="Arial" w:cs="Arial"/>
        </w:rPr>
        <w:t>AfriSAP</w:t>
      </w:r>
      <w:proofErr w:type="spellEnd"/>
      <w:r w:rsidR="00997597" w:rsidRPr="000A5E3A">
        <w:rPr>
          <w:rFonts w:ascii="Arial" w:eastAsia="Times New Roman" w:hAnsi="Arial" w:cs="Arial"/>
        </w:rPr>
        <w:t>, July 2025)</w:t>
      </w:r>
      <w:r w:rsidR="00C578BD" w:rsidRPr="000A5E3A">
        <w:rPr>
          <w:rFonts w:ascii="Arial" w:eastAsia="Times New Roman" w:hAnsi="Arial" w:cs="Arial"/>
        </w:rPr>
        <w:t>, that identify the band exclusively for IMT</w:t>
      </w:r>
      <w:r w:rsidR="00997597" w:rsidRPr="000A5E3A">
        <w:rPr>
          <w:rFonts w:ascii="Arial" w:eastAsia="Times New Roman" w:hAnsi="Arial" w:cs="Arial"/>
        </w:rPr>
        <w:t xml:space="preserve">. </w:t>
      </w:r>
      <w:r w:rsidR="001F58E0" w:rsidRPr="000A5E3A">
        <w:rPr>
          <w:rFonts w:ascii="Arial" w:eastAsia="Times New Roman" w:hAnsi="Arial" w:cs="Arial"/>
        </w:rPr>
        <w:t xml:space="preserve">The mention of RLANs in the second NRFP consultation represents therefore a drastic change in ICASA´s standing policy for the band. </w:t>
      </w:r>
    </w:p>
    <w:p w14:paraId="0B3930A3" w14:textId="77777777" w:rsidR="00185FAA" w:rsidRPr="000A5E3A" w:rsidRDefault="00185FAA" w:rsidP="00185FAA">
      <w:pPr>
        <w:spacing w:before="100" w:beforeAutospacing="1" w:after="100" w:afterAutospacing="1"/>
        <w:rPr>
          <w:rFonts w:ascii="Arial" w:eastAsia="Times New Roman" w:hAnsi="Arial" w:cs="Arial"/>
          <w:b/>
          <w:bCs/>
        </w:rPr>
      </w:pPr>
      <w:r w:rsidRPr="000A5E3A">
        <w:rPr>
          <w:rFonts w:ascii="Arial" w:eastAsia="Times New Roman" w:hAnsi="Arial" w:cs="Arial"/>
          <w:b/>
          <w:bCs/>
        </w:rPr>
        <w:t>Risk of Unauthorized RLAN use in the U6 GHz band</w:t>
      </w:r>
    </w:p>
    <w:p w14:paraId="2C0B9F27" w14:textId="7977723B" w:rsidR="00185FAA" w:rsidRPr="000A5E3A" w:rsidRDefault="00185FAA" w:rsidP="00185FAA">
      <w:pPr>
        <w:spacing w:before="100" w:beforeAutospacing="1" w:after="100" w:afterAutospacing="1"/>
        <w:rPr>
          <w:rFonts w:ascii="Arial" w:eastAsia="Times New Roman" w:hAnsi="Arial" w:cs="Arial"/>
        </w:rPr>
      </w:pPr>
      <w:r w:rsidRPr="000A5E3A">
        <w:rPr>
          <w:rFonts w:ascii="Arial" w:eastAsia="Times New Roman" w:hAnsi="Arial" w:cs="Arial"/>
        </w:rPr>
        <w:t xml:space="preserve">Introduction of WAS/RLAN as a “typical application” in the NRFP risks unauthorized RLAN use before it is formally regulated in the Radio Frequency Spectrum Regulations. </w:t>
      </w:r>
      <w:r w:rsidRPr="000A5E3A">
        <w:rPr>
          <w:rFonts w:ascii="Arial" w:eastAsia="Times New Roman" w:hAnsi="Arial" w:cs="Arial"/>
        </w:rPr>
        <w:lastRenderedPageBreak/>
        <w:t xml:space="preserve">ICASA may eventually conclude that RLAN should not be deployed in the band, but it would be very difficult for ICASA to stop people using RLAN equipment in the band </w:t>
      </w:r>
      <w:r w:rsidR="001F58E0" w:rsidRPr="000A5E3A">
        <w:rPr>
          <w:rFonts w:ascii="Arial" w:eastAsia="Times New Roman" w:hAnsi="Arial" w:cs="Arial"/>
        </w:rPr>
        <w:t>once</w:t>
      </w:r>
      <w:r w:rsidRPr="000A5E3A">
        <w:rPr>
          <w:rFonts w:ascii="Arial" w:eastAsia="Times New Roman" w:hAnsi="Arial" w:cs="Arial"/>
        </w:rPr>
        <w:t xml:space="preserve"> the application is listed in the National Table.</w:t>
      </w:r>
    </w:p>
    <w:p w14:paraId="54E56F03" w14:textId="77777777" w:rsidR="00185FAA" w:rsidRPr="000A5E3A" w:rsidRDefault="00185FAA" w:rsidP="00185FAA">
      <w:pPr>
        <w:spacing w:before="100" w:beforeAutospacing="1" w:after="100" w:afterAutospacing="1"/>
        <w:rPr>
          <w:rFonts w:ascii="Arial" w:eastAsia="Times New Roman" w:hAnsi="Arial" w:cs="Arial"/>
        </w:rPr>
      </w:pPr>
    </w:p>
    <w:p w14:paraId="00E0A9C0" w14:textId="77777777" w:rsidR="00185FAA" w:rsidRPr="000A5E3A" w:rsidRDefault="00185FAA" w:rsidP="00185FAA">
      <w:pPr>
        <w:spacing w:before="100" w:beforeAutospacing="1" w:after="100" w:afterAutospacing="1"/>
        <w:rPr>
          <w:rFonts w:ascii="Arial" w:eastAsia="Times New Roman" w:hAnsi="Arial" w:cs="Arial"/>
          <w:b/>
          <w:bCs/>
          <w:u w:val="single"/>
        </w:rPr>
      </w:pPr>
      <w:r w:rsidRPr="000A5E3A">
        <w:rPr>
          <w:rFonts w:ascii="Arial" w:eastAsia="Times New Roman" w:hAnsi="Arial" w:cs="Arial"/>
          <w:b/>
          <w:bCs/>
          <w:u w:val="single"/>
        </w:rPr>
        <w:t>Economic assessment</w:t>
      </w:r>
    </w:p>
    <w:p w14:paraId="45DCCE31" w14:textId="47F6300F" w:rsidR="00185FAA" w:rsidRPr="000A5E3A" w:rsidRDefault="001F58E0" w:rsidP="00185FAA">
      <w:pPr>
        <w:spacing w:before="100" w:beforeAutospacing="1" w:after="100" w:afterAutospacing="1"/>
        <w:rPr>
          <w:rFonts w:ascii="Arial" w:eastAsia="Times New Roman" w:hAnsi="Arial" w:cs="Arial"/>
        </w:rPr>
      </w:pPr>
      <w:r w:rsidRPr="000A5E3A">
        <w:rPr>
          <w:rFonts w:ascii="Arial" w:eastAsia="Times New Roman" w:hAnsi="Arial" w:cs="Arial"/>
        </w:rPr>
        <w:t xml:space="preserve">Studies show that IMT use in the band generates higher economic and social benefits that RLAN use. </w:t>
      </w:r>
      <w:r w:rsidR="00185FAA" w:rsidRPr="000A5E3A">
        <w:rPr>
          <w:rFonts w:ascii="Arial" w:eastAsia="Times New Roman" w:hAnsi="Arial" w:cs="Arial"/>
        </w:rPr>
        <w:t xml:space="preserve">The GSMA Intelligence consultancy has conducted an assessment of </w:t>
      </w:r>
      <w:r w:rsidR="00D221B4" w:rsidRPr="000A5E3A">
        <w:rPr>
          <w:rFonts w:ascii="Arial" w:eastAsia="Times New Roman" w:hAnsi="Arial" w:cs="Arial"/>
        </w:rPr>
        <w:t xml:space="preserve">three policy </w:t>
      </w:r>
      <w:r w:rsidR="00185FAA" w:rsidRPr="000A5E3A">
        <w:rPr>
          <w:rFonts w:ascii="Arial" w:eastAsia="Times New Roman" w:hAnsi="Arial" w:cs="Arial"/>
        </w:rPr>
        <w:t xml:space="preserve">options for the 6GHz band as a whole (5925-7125 MHz): </w:t>
      </w:r>
      <w:r w:rsidR="00D221B4" w:rsidRPr="000A5E3A">
        <w:rPr>
          <w:rFonts w:ascii="Arial" w:eastAsia="Times New Roman" w:hAnsi="Arial" w:cs="Arial"/>
        </w:rPr>
        <w:t xml:space="preserve">1) </w:t>
      </w:r>
      <w:r w:rsidR="00185FAA" w:rsidRPr="000A5E3A">
        <w:rPr>
          <w:rFonts w:ascii="Arial" w:eastAsia="Times New Roman" w:hAnsi="Arial" w:cs="Arial"/>
        </w:rPr>
        <w:t>licensed use</w:t>
      </w:r>
      <w:r w:rsidR="00D221B4" w:rsidRPr="000A5E3A">
        <w:rPr>
          <w:rFonts w:ascii="Arial" w:eastAsia="Times New Roman" w:hAnsi="Arial" w:cs="Arial"/>
        </w:rPr>
        <w:t xml:space="preserve"> in the whole band</w:t>
      </w:r>
      <w:r w:rsidR="00185FAA" w:rsidRPr="000A5E3A">
        <w:rPr>
          <w:rFonts w:ascii="Arial" w:eastAsia="Times New Roman" w:hAnsi="Arial" w:cs="Arial"/>
        </w:rPr>
        <w:t xml:space="preserve">, </w:t>
      </w:r>
      <w:r w:rsidR="00D221B4" w:rsidRPr="000A5E3A">
        <w:rPr>
          <w:rFonts w:ascii="Arial" w:eastAsia="Times New Roman" w:hAnsi="Arial" w:cs="Arial"/>
        </w:rPr>
        <w:t xml:space="preserve">2) </w:t>
      </w:r>
      <w:r w:rsidR="00185FAA" w:rsidRPr="000A5E3A">
        <w:rPr>
          <w:rFonts w:ascii="Arial" w:eastAsia="Times New Roman" w:hAnsi="Arial" w:cs="Arial"/>
        </w:rPr>
        <w:t xml:space="preserve">unlicensed use </w:t>
      </w:r>
      <w:r w:rsidR="00D221B4" w:rsidRPr="000A5E3A">
        <w:rPr>
          <w:rFonts w:ascii="Arial" w:eastAsia="Times New Roman" w:hAnsi="Arial" w:cs="Arial"/>
        </w:rPr>
        <w:t xml:space="preserve">in the whole band, </w:t>
      </w:r>
      <w:r w:rsidR="00185FAA" w:rsidRPr="000A5E3A">
        <w:rPr>
          <w:rFonts w:ascii="Arial" w:eastAsia="Times New Roman" w:hAnsi="Arial" w:cs="Arial"/>
        </w:rPr>
        <w:t>and</w:t>
      </w:r>
      <w:r w:rsidR="00D221B4" w:rsidRPr="000A5E3A">
        <w:rPr>
          <w:rFonts w:ascii="Arial" w:eastAsia="Times New Roman" w:hAnsi="Arial" w:cs="Arial"/>
        </w:rPr>
        <w:t>3</w:t>
      </w:r>
      <w:r w:rsidR="00B3790C" w:rsidRPr="000A5E3A">
        <w:rPr>
          <w:rFonts w:ascii="Arial" w:eastAsia="Times New Roman" w:hAnsi="Arial" w:cs="Arial"/>
        </w:rPr>
        <w:t>) a</w:t>
      </w:r>
      <w:r w:rsidR="00185FAA" w:rsidRPr="000A5E3A">
        <w:rPr>
          <w:rFonts w:ascii="Arial" w:eastAsia="Times New Roman" w:hAnsi="Arial" w:cs="Arial"/>
        </w:rPr>
        <w:t xml:space="preserve"> band split in 6425 MHz </w:t>
      </w:r>
      <w:r w:rsidR="00185FAA" w:rsidRPr="000A5E3A">
        <w:rPr>
          <w:rFonts w:ascii="Arial" w:eastAsia="Times New Roman" w:hAnsi="Arial" w:cs="Arial"/>
          <w:vertAlign w:val="superscript"/>
        </w:rPr>
        <w:footnoteReference w:id="7"/>
      </w:r>
      <w:r w:rsidR="00185FAA" w:rsidRPr="000A5E3A">
        <w:rPr>
          <w:rFonts w:ascii="Arial" w:eastAsia="Times New Roman" w:hAnsi="Arial" w:cs="Arial"/>
        </w:rPr>
        <w:t xml:space="preserve">. The </w:t>
      </w:r>
      <w:proofErr w:type="spellStart"/>
      <w:r w:rsidR="00185FAA" w:rsidRPr="000A5E3A">
        <w:rPr>
          <w:rFonts w:ascii="Arial" w:eastAsia="Times New Roman" w:hAnsi="Arial" w:cs="Arial"/>
        </w:rPr>
        <w:t>GSMAi</w:t>
      </w:r>
      <w:proofErr w:type="spellEnd"/>
      <w:r w:rsidR="00185FAA" w:rsidRPr="000A5E3A">
        <w:rPr>
          <w:rFonts w:ascii="Arial" w:eastAsia="Times New Roman" w:hAnsi="Arial" w:cs="Arial"/>
        </w:rPr>
        <w:t xml:space="preserve"> concluded that in a house dwelling setting, the licensed use of the entire 6 GHz band will deliver the largest benefits across all countries studied (including South Africa) </w:t>
      </w:r>
      <w:r w:rsidRPr="000A5E3A">
        <w:rPr>
          <w:rFonts w:ascii="Arial" w:eastAsia="Times New Roman" w:hAnsi="Arial" w:cs="Arial"/>
        </w:rPr>
        <w:t xml:space="preserve">when </w:t>
      </w:r>
      <w:r w:rsidR="00185FAA" w:rsidRPr="000A5E3A">
        <w:rPr>
          <w:rFonts w:ascii="Arial" w:eastAsia="Times New Roman" w:hAnsi="Arial" w:cs="Arial"/>
        </w:rPr>
        <w:t xml:space="preserve">fixed broadband </w:t>
      </w:r>
      <w:r w:rsidRPr="000A5E3A">
        <w:rPr>
          <w:rFonts w:ascii="Arial" w:eastAsia="Times New Roman" w:hAnsi="Arial" w:cs="Arial"/>
        </w:rPr>
        <w:t>provides speeds below</w:t>
      </w:r>
      <w:r w:rsidR="00185FAA" w:rsidRPr="000A5E3A">
        <w:rPr>
          <w:rFonts w:ascii="Arial" w:eastAsia="Times New Roman" w:hAnsi="Arial" w:cs="Arial"/>
        </w:rPr>
        <w:t xml:space="preserve"> 5 Gbps. This is because there is already sufficient capacity with existing unlicensed spectrum. The licensed use of the 6 GHz band will still deliver the largest benefits across most countries </w:t>
      </w:r>
      <w:r w:rsidR="00D221B4" w:rsidRPr="000A5E3A">
        <w:rPr>
          <w:rFonts w:ascii="Arial" w:eastAsia="Times New Roman" w:hAnsi="Arial" w:cs="Arial"/>
        </w:rPr>
        <w:t>with</w:t>
      </w:r>
      <w:r w:rsidR="00185FAA" w:rsidRPr="000A5E3A">
        <w:rPr>
          <w:rFonts w:ascii="Arial" w:eastAsia="Times New Roman" w:hAnsi="Arial" w:cs="Arial"/>
        </w:rPr>
        <w:t xml:space="preserve"> fixed broadband speeds up to 10 Gbps. </w:t>
      </w:r>
      <w:r w:rsidR="00D221B4" w:rsidRPr="000A5E3A">
        <w:rPr>
          <w:rFonts w:ascii="Arial" w:eastAsia="Times New Roman" w:hAnsi="Arial" w:cs="Arial"/>
        </w:rPr>
        <w:t>Option 3 (</w:t>
      </w:r>
      <w:r w:rsidR="00185FAA" w:rsidRPr="000A5E3A">
        <w:rPr>
          <w:rFonts w:ascii="Arial" w:eastAsia="Times New Roman" w:hAnsi="Arial" w:cs="Arial"/>
        </w:rPr>
        <w:t>Assigning the lower 6 GHz band for unlicensed use and the upper 6 GHz band for licensed use</w:t>
      </w:r>
      <w:r w:rsidR="00D221B4" w:rsidRPr="000A5E3A">
        <w:rPr>
          <w:rFonts w:ascii="Arial" w:eastAsia="Times New Roman" w:hAnsi="Arial" w:cs="Arial"/>
        </w:rPr>
        <w:t>)</w:t>
      </w:r>
      <w:r w:rsidR="00185FAA" w:rsidRPr="000A5E3A">
        <w:rPr>
          <w:rFonts w:ascii="Arial" w:eastAsia="Times New Roman" w:hAnsi="Arial" w:cs="Arial"/>
        </w:rPr>
        <w:t xml:space="preserve"> will deliver the largest benefits in some countries under certain assumptions related to </w:t>
      </w:r>
      <w:proofErr w:type="spellStart"/>
      <w:r w:rsidR="00185FAA" w:rsidRPr="000A5E3A">
        <w:rPr>
          <w:rFonts w:ascii="Arial" w:eastAsia="Times New Roman" w:hAnsi="Arial" w:cs="Arial"/>
        </w:rPr>
        <w:t>fibre</w:t>
      </w:r>
      <w:proofErr w:type="spellEnd"/>
      <w:r w:rsidR="00185FAA" w:rsidRPr="000A5E3A">
        <w:rPr>
          <w:rFonts w:ascii="Arial" w:eastAsia="Times New Roman" w:hAnsi="Arial" w:cs="Arial"/>
        </w:rPr>
        <w:t xml:space="preserve"> penetration and speed. </w:t>
      </w:r>
    </w:p>
    <w:p w14:paraId="42DF046B" w14:textId="2410C69A" w:rsidR="00185FAA" w:rsidRPr="000A5E3A" w:rsidRDefault="00D221B4" w:rsidP="00185FAA">
      <w:pPr>
        <w:spacing w:before="100" w:beforeAutospacing="1" w:after="100" w:afterAutospacing="1"/>
        <w:rPr>
          <w:rFonts w:ascii="Arial" w:eastAsia="Times New Roman" w:hAnsi="Arial" w:cs="Arial"/>
        </w:rPr>
      </w:pPr>
      <w:r w:rsidRPr="000A5E3A">
        <w:rPr>
          <w:rFonts w:ascii="Arial" w:eastAsia="Times New Roman" w:hAnsi="Arial" w:cs="Arial"/>
        </w:rPr>
        <w:t xml:space="preserve">The GSMA has also published the report </w:t>
      </w:r>
      <w:r w:rsidRPr="000A5E3A">
        <w:rPr>
          <w:rFonts w:ascii="Arial" w:eastAsia="Times New Roman" w:hAnsi="Arial" w:cs="Arial"/>
          <w:i/>
          <w:iCs/>
        </w:rPr>
        <w:t>Mobile Evolution in 6 GHz</w:t>
      </w:r>
      <w:r w:rsidRPr="000A5E3A">
        <w:rPr>
          <w:rFonts w:ascii="Arial" w:eastAsia="Times New Roman" w:hAnsi="Arial" w:cs="Arial"/>
          <w:vertAlign w:val="superscript"/>
        </w:rPr>
        <w:footnoteReference w:id="8"/>
      </w:r>
      <w:r w:rsidRPr="000A5E3A">
        <w:rPr>
          <w:rFonts w:ascii="Arial" w:eastAsia="Times New Roman" w:hAnsi="Arial" w:cs="Arial"/>
          <w:i/>
          <w:iCs/>
        </w:rPr>
        <w:t>.</w:t>
      </w:r>
      <w:r w:rsidRPr="000A5E3A">
        <w:rPr>
          <w:rFonts w:ascii="Arial" w:eastAsia="Times New Roman" w:hAnsi="Arial" w:cs="Arial"/>
        </w:rPr>
        <w:t xml:space="preserve"> This report contains a</w:t>
      </w:r>
      <w:r w:rsidR="00185FAA" w:rsidRPr="000A5E3A">
        <w:rPr>
          <w:rFonts w:ascii="Arial" w:eastAsia="Times New Roman" w:hAnsi="Arial" w:cs="Arial"/>
        </w:rPr>
        <w:t xml:space="preserve"> second study </w:t>
      </w:r>
      <w:r w:rsidRPr="000A5E3A">
        <w:rPr>
          <w:rFonts w:ascii="Arial" w:eastAsia="Times New Roman" w:hAnsi="Arial" w:cs="Arial"/>
        </w:rPr>
        <w:t>focused on</w:t>
      </w:r>
      <w:r w:rsidR="00185FAA" w:rsidRPr="000A5E3A">
        <w:rPr>
          <w:rFonts w:ascii="Arial" w:eastAsia="Times New Roman" w:hAnsi="Arial" w:cs="Arial"/>
        </w:rPr>
        <w:t xml:space="preserve"> </w:t>
      </w:r>
      <w:r w:rsidRPr="000A5E3A">
        <w:rPr>
          <w:rFonts w:ascii="Arial" w:eastAsia="Times New Roman" w:hAnsi="Arial" w:cs="Arial"/>
        </w:rPr>
        <w:t>the 6425-7125 MHz</w:t>
      </w:r>
      <w:r w:rsidR="00185FAA" w:rsidRPr="000A5E3A">
        <w:rPr>
          <w:rFonts w:ascii="Arial" w:eastAsia="Times New Roman" w:hAnsi="Arial" w:cs="Arial"/>
        </w:rPr>
        <w:t xml:space="preserve"> band</w:t>
      </w:r>
      <w:r w:rsidRPr="000A5E3A">
        <w:rPr>
          <w:rFonts w:ascii="Arial" w:eastAsia="Times New Roman" w:hAnsi="Arial" w:cs="Arial"/>
        </w:rPr>
        <w:t xml:space="preserve"> alone and considered again three options</w:t>
      </w:r>
      <w:r w:rsidR="00185FAA" w:rsidRPr="000A5E3A">
        <w:rPr>
          <w:rFonts w:ascii="Arial" w:eastAsia="Times New Roman" w:hAnsi="Arial" w:cs="Arial"/>
        </w:rPr>
        <w:t xml:space="preserve">: </w:t>
      </w:r>
      <w:r w:rsidRPr="000A5E3A">
        <w:rPr>
          <w:rFonts w:ascii="Arial" w:eastAsia="Times New Roman" w:hAnsi="Arial" w:cs="Arial"/>
        </w:rPr>
        <w:t xml:space="preserve">1) </w:t>
      </w:r>
      <w:r w:rsidR="00185FAA" w:rsidRPr="000A5E3A">
        <w:rPr>
          <w:rFonts w:ascii="Arial" w:eastAsia="Times New Roman" w:hAnsi="Arial" w:cs="Arial"/>
        </w:rPr>
        <w:t>unlicensed use exclusively,</w:t>
      </w:r>
      <w:r w:rsidRPr="000A5E3A">
        <w:rPr>
          <w:rFonts w:ascii="Arial" w:eastAsia="Times New Roman" w:hAnsi="Arial" w:cs="Arial"/>
        </w:rPr>
        <w:t>2</w:t>
      </w:r>
      <w:r w:rsidR="00B3790C" w:rsidRPr="000A5E3A">
        <w:rPr>
          <w:rFonts w:ascii="Arial" w:eastAsia="Times New Roman" w:hAnsi="Arial" w:cs="Arial"/>
        </w:rPr>
        <w:t>) licensed</w:t>
      </w:r>
      <w:r w:rsidR="00185FAA" w:rsidRPr="000A5E3A">
        <w:rPr>
          <w:rFonts w:ascii="Arial" w:eastAsia="Times New Roman" w:hAnsi="Arial" w:cs="Arial"/>
        </w:rPr>
        <w:t xml:space="preserve"> IMT exclusively, and</w:t>
      </w:r>
      <w:r w:rsidRPr="000A5E3A">
        <w:rPr>
          <w:rFonts w:ascii="Arial" w:eastAsia="Times New Roman" w:hAnsi="Arial" w:cs="Arial"/>
        </w:rPr>
        <w:t xml:space="preserve"> 3)</w:t>
      </w:r>
      <w:r w:rsidR="00185FAA" w:rsidRPr="000A5E3A">
        <w:rPr>
          <w:rFonts w:ascii="Arial" w:eastAsia="Times New Roman" w:hAnsi="Arial" w:cs="Arial"/>
        </w:rPr>
        <w:t xml:space="preserve"> shared use based on reduced IMT power. This study concluded again that the greatest economic benefit in all countries is the scenario where the upper 6 GHz is assigned for licensed, macro-cell mobile with standard power levels. This scenario drives the greatest benefit because mobile is much more likely than Wi-Fi to be capacity constrained in each country over the period to 2035.</w:t>
      </w:r>
    </w:p>
    <w:p w14:paraId="00B96147" w14:textId="77777777" w:rsidR="00185FAA" w:rsidRPr="000A5E3A" w:rsidRDefault="00185FAA" w:rsidP="00185FAA">
      <w:pPr>
        <w:spacing w:before="100" w:beforeAutospacing="1" w:after="100" w:afterAutospacing="1"/>
        <w:rPr>
          <w:rFonts w:ascii="Arial" w:eastAsia="Times New Roman" w:hAnsi="Arial" w:cs="Arial"/>
        </w:rPr>
      </w:pPr>
    </w:p>
    <w:p w14:paraId="62D5A38D" w14:textId="77777777" w:rsidR="00185FAA" w:rsidRPr="000A5E3A" w:rsidRDefault="00185FAA" w:rsidP="00185FAA">
      <w:pPr>
        <w:spacing w:before="100" w:beforeAutospacing="1" w:after="100" w:afterAutospacing="1"/>
        <w:rPr>
          <w:rFonts w:ascii="Arial" w:eastAsia="Times New Roman" w:hAnsi="Arial" w:cs="Arial"/>
          <w:b/>
          <w:bCs/>
          <w:u w:val="single"/>
        </w:rPr>
      </w:pPr>
      <w:r w:rsidRPr="000A5E3A">
        <w:rPr>
          <w:rFonts w:ascii="Arial" w:eastAsia="Times New Roman" w:hAnsi="Arial" w:cs="Arial"/>
          <w:b/>
          <w:bCs/>
          <w:u w:val="single"/>
        </w:rPr>
        <w:t>No Need for 6425-7125 for RLAN use in South Africa</w:t>
      </w:r>
    </w:p>
    <w:p w14:paraId="38F0525C" w14:textId="77777777" w:rsidR="00185FAA" w:rsidRPr="000A5E3A" w:rsidRDefault="00185FAA" w:rsidP="00185FAA">
      <w:pPr>
        <w:spacing w:before="100" w:beforeAutospacing="1" w:after="100" w:afterAutospacing="1"/>
        <w:rPr>
          <w:rFonts w:ascii="Arial" w:eastAsia="Times New Roman" w:hAnsi="Arial" w:cs="Arial"/>
        </w:rPr>
      </w:pPr>
      <w:r w:rsidRPr="000A5E3A">
        <w:rPr>
          <w:rFonts w:ascii="Arial" w:eastAsia="Times New Roman" w:hAnsi="Arial" w:cs="Arial"/>
        </w:rPr>
        <w:t xml:space="preserve">There is sufficient spectrum available for RLANs in South Africa to meet the needs for the foreseeable future. The 2.4 GHz, 5 GHz and Lower 6 GHz bands are sufficient for the provision of multi-gigabit connectivity by Wi-Fi in residential dwellings and </w:t>
      </w:r>
      <w:r w:rsidRPr="000A5E3A">
        <w:rPr>
          <w:rFonts w:ascii="Arial" w:eastAsia="Times New Roman" w:hAnsi="Arial" w:cs="Arial"/>
        </w:rPr>
        <w:lastRenderedPageBreak/>
        <w:t xml:space="preserve">enterprises. The lower 6GHz was authorized by ICASA for RLANs in 2023 and we believe its occupation is negligeable so far. </w:t>
      </w:r>
    </w:p>
    <w:p w14:paraId="76945535" w14:textId="6F67232B" w:rsidR="00185FAA" w:rsidRPr="000A5E3A" w:rsidRDefault="00185FAA" w:rsidP="00185FAA">
      <w:pPr>
        <w:spacing w:before="100" w:beforeAutospacing="1" w:after="100" w:afterAutospacing="1"/>
        <w:rPr>
          <w:rFonts w:ascii="Arial" w:eastAsia="Times New Roman" w:hAnsi="Arial" w:cs="Arial"/>
        </w:rPr>
      </w:pPr>
      <w:r w:rsidRPr="000A5E3A">
        <w:rPr>
          <w:rFonts w:ascii="Arial" w:eastAsia="Times New Roman" w:hAnsi="Arial" w:cs="Arial"/>
        </w:rPr>
        <w:t>Field tests</w:t>
      </w:r>
      <w:r w:rsidRPr="000A5E3A">
        <w:rPr>
          <w:rFonts w:ascii="Arial" w:eastAsia="Times New Roman" w:hAnsi="Arial" w:cs="Arial"/>
          <w:vertAlign w:val="superscript"/>
        </w:rPr>
        <w:footnoteReference w:id="9"/>
      </w:r>
      <w:r w:rsidRPr="000A5E3A">
        <w:rPr>
          <w:rFonts w:ascii="Arial" w:eastAsia="Times New Roman" w:hAnsi="Arial" w:cs="Arial"/>
        </w:rPr>
        <w:t xml:space="preserve"> by COMTEL in 2024 have indicated that by using the 5 GHz and Lower 6 GHz bands alone, and with channel bandwidths of 80 and 160 MHz, a Wi-Fi Access point (AP) can readily deliver a throughput of around 1.5 Gbit/s in an interference-free room. The same tests have demonstrated that in highly interference-limited densely populated urban apartment environments, again with channel bandwidths of 80 and 160 MHz, and with the deployment of 2, 3 or 4 Wi-Fi APs per apartment – where needed – data rates of 1.7, 2.4 or 4.5 Gbit/s could be delivered in each apartment, respectively. Given the above achievable data rates, and noting that an Ultra High Definition (UHD) video stream requires a data rate of up to around 20 Mbit/s, we do not envisage that Wi-Fi would require access to the upper 6 GHz band in South Africa.</w:t>
      </w:r>
    </w:p>
    <w:p w14:paraId="3395BE87" w14:textId="65A925B1" w:rsidR="00185FAA" w:rsidRPr="000A5E3A" w:rsidRDefault="00185FAA" w:rsidP="00185FAA">
      <w:pPr>
        <w:spacing w:before="100" w:beforeAutospacing="1" w:after="100" w:afterAutospacing="1"/>
        <w:rPr>
          <w:rFonts w:ascii="Arial" w:eastAsia="Times New Roman" w:hAnsi="Arial" w:cs="Arial"/>
        </w:rPr>
      </w:pPr>
      <w:r w:rsidRPr="000A5E3A">
        <w:rPr>
          <w:rFonts w:ascii="Arial" w:eastAsia="Times New Roman" w:hAnsi="Arial" w:cs="Arial"/>
        </w:rPr>
        <w:t xml:space="preserve">The </w:t>
      </w:r>
      <w:r w:rsidR="00D221B4" w:rsidRPr="000A5E3A">
        <w:rPr>
          <w:rFonts w:ascii="Arial" w:eastAsia="Times New Roman" w:hAnsi="Arial" w:cs="Arial"/>
        </w:rPr>
        <w:t xml:space="preserve">report </w:t>
      </w:r>
      <w:r w:rsidRPr="000A5E3A">
        <w:rPr>
          <w:rFonts w:ascii="Arial" w:eastAsia="Times New Roman" w:hAnsi="Arial" w:cs="Arial"/>
          <w:b/>
          <w:bCs/>
        </w:rPr>
        <w:t>Mobile</w:t>
      </w:r>
      <w:r w:rsidRPr="000A5E3A">
        <w:rPr>
          <w:rFonts w:ascii="Arial" w:eastAsia="Times New Roman" w:hAnsi="Arial" w:cs="Arial"/>
          <w:b/>
          <w:bCs/>
          <w:i/>
          <w:iCs/>
        </w:rPr>
        <w:t xml:space="preserve"> </w:t>
      </w:r>
      <w:r w:rsidRPr="000A5E3A">
        <w:rPr>
          <w:rFonts w:ascii="Arial" w:eastAsia="Times New Roman" w:hAnsi="Arial" w:cs="Arial"/>
          <w:b/>
          <w:bCs/>
        </w:rPr>
        <w:t>Evolution in 6 GHz</w:t>
      </w:r>
      <w:r w:rsidRPr="000A5E3A">
        <w:rPr>
          <w:rFonts w:ascii="Arial" w:eastAsia="Times New Roman" w:hAnsi="Arial" w:cs="Arial"/>
        </w:rPr>
        <w:t xml:space="preserve"> </w:t>
      </w:r>
      <w:r w:rsidRPr="000A5E3A">
        <w:rPr>
          <w:rFonts w:ascii="Arial" w:eastAsia="Times New Roman" w:hAnsi="Arial" w:cs="Arial"/>
          <w:b/>
          <w:bCs/>
        </w:rPr>
        <w:t>by the GSMA</w:t>
      </w:r>
      <w:r w:rsidR="00D221B4" w:rsidRPr="000A5E3A">
        <w:rPr>
          <w:rFonts w:ascii="Arial" w:eastAsia="Times New Roman" w:hAnsi="Arial" w:cs="Arial"/>
        </w:rPr>
        <w:t>,</w:t>
      </w:r>
      <w:r w:rsidRPr="000A5E3A">
        <w:rPr>
          <w:rFonts w:ascii="Arial" w:eastAsia="Times New Roman" w:hAnsi="Arial" w:cs="Arial"/>
        </w:rPr>
        <w:t xml:space="preserve"> mentioned above</w:t>
      </w:r>
      <w:r w:rsidR="00D221B4" w:rsidRPr="000A5E3A">
        <w:rPr>
          <w:rFonts w:ascii="Arial" w:eastAsia="Times New Roman" w:hAnsi="Arial" w:cs="Arial"/>
        </w:rPr>
        <w:t>,</w:t>
      </w:r>
      <w:r w:rsidRPr="000A5E3A">
        <w:rPr>
          <w:rFonts w:ascii="Arial" w:eastAsia="Times New Roman" w:hAnsi="Arial" w:cs="Arial"/>
        </w:rPr>
        <w:t xml:space="preserve"> contains data from a campaign of scans conducted by </w:t>
      </w:r>
      <w:proofErr w:type="spellStart"/>
      <w:r w:rsidRPr="000A5E3A">
        <w:rPr>
          <w:rFonts w:ascii="Arial" w:eastAsia="Times New Roman" w:hAnsi="Arial" w:cs="Arial"/>
        </w:rPr>
        <w:t>Ookla</w:t>
      </w:r>
      <w:proofErr w:type="spellEnd"/>
      <w:r w:rsidR="00D221B4" w:rsidRPr="000A5E3A">
        <w:rPr>
          <w:rFonts w:ascii="Arial" w:eastAsia="Times New Roman" w:hAnsi="Arial" w:cs="Arial"/>
        </w:rPr>
        <w:t xml:space="preserve"> during Q1 2024</w:t>
      </w:r>
      <w:r w:rsidRPr="000A5E3A">
        <w:rPr>
          <w:rFonts w:ascii="Arial" w:eastAsia="Times New Roman" w:hAnsi="Arial" w:cs="Arial"/>
        </w:rPr>
        <w:t xml:space="preserve">. In the cities considered in the </w:t>
      </w:r>
      <w:r w:rsidR="00D221B4" w:rsidRPr="000A5E3A">
        <w:rPr>
          <w:rFonts w:ascii="Arial" w:eastAsia="Times New Roman" w:hAnsi="Arial" w:cs="Arial"/>
        </w:rPr>
        <w:t>campaign</w:t>
      </w:r>
      <w:r w:rsidRPr="000A5E3A">
        <w:rPr>
          <w:rFonts w:ascii="Arial" w:eastAsia="Times New Roman" w:hAnsi="Arial" w:cs="Arial"/>
        </w:rPr>
        <w:t xml:space="preserve">, the data gathered by </w:t>
      </w:r>
      <w:proofErr w:type="spellStart"/>
      <w:r w:rsidRPr="000A5E3A">
        <w:rPr>
          <w:rFonts w:ascii="Arial" w:eastAsia="Times New Roman" w:hAnsi="Arial" w:cs="Arial"/>
        </w:rPr>
        <w:t>Ookla</w:t>
      </w:r>
      <w:proofErr w:type="spellEnd"/>
      <w:r w:rsidRPr="000A5E3A">
        <w:rPr>
          <w:rFonts w:ascii="Arial" w:eastAsia="Times New Roman" w:hAnsi="Arial" w:cs="Arial"/>
        </w:rPr>
        <w:t xml:space="preserve"> shows that between 22% and 78% of Wi-Fi usage was on legacy Wi-Fi 4 technology. </w:t>
      </w:r>
      <w:proofErr w:type="spellStart"/>
      <w:r w:rsidRPr="000A5E3A">
        <w:rPr>
          <w:rFonts w:ascii="Arial" w:eastAsia="Times New Roman" w:hAnsi="Arial" w:cs="Arial"/>
        </w:rPr>
        <w:t>Ookla</w:t>
      </w:r>
      <w:proofErr w:type="spellEnd"/>
      <w:r w:rsidRPr="000A5E3A">
        <w:rPr>
          <w:rFonts w:ascii="Arial" w:eastAsia="Times New Roman" w:hAnsi="Arial" w:cs="Arial"/>
        </w:rPr>
        <w:t xml:space="preserve"> found that the lower 6 GHz band was hardly </w:t>
      </w:r>
      <w:proofErr w:type="spellStart"/>
      <w:r w:rsidRPr="000A5E3A">
        <w:rPr>
          <w:rFonts w:ascii="Arial" w:eastAsia="Times New Roman" w:hAnsi="Arial" w:cs="Arial"/>
        </w:rPr>
        <w:t>utilised</w:t>
      </w:r>
      <w:proofErr w:type="spellEnd"/>
      <w:r w:rsidRPr="000A5E3A">
        <w:rPr>
          <w:rFonts w:ascii="Arial" w:eastAsia="Times New Roman" w:hAnsi="Arial" w:cs="Arial"/>
        </w:rPr>
        <w:t xml:space="preserve"> for Wi-Fi 6. </w:t>
      </w:r>
      <w:r w:rsidR="00D221B4" w:rsidRPr="000A5E3A">
        <w:rPr>
          <w:rFonts w:ascii="Arial" w:eastAsia="Times New Roman" w:hAnsi="Arial" w:cs="Arial"/>
        </w:rPr>
        <w:t>It is worth noting that i</w:t>
      </w:r>
      <w:r w:rsidRPr="000A5E3A">
        <w:rPr>
          <w:rFonts w:ascii="Arial" w:eastAsia="Times New Roman" w:hAnsi="Arial" w:cs="Arial"/>
        </w:rPr>
        <w:t>n some of the cities in the report (Tokyo, Dubai) the lower 6GHz band has been available for RLAN use for several years.</w:t>
      </w:r>
    </w:p>
    <w:p w14:paraId="12BB06A8" w14:textId="7BAF1CB1" w:rsidR="00185FAA" w:rsidRPr="000A5E3A" w:rsidRDefault="00185FAA" w:rsidP="00185FAA">
      <w:pPr>
        <w:spacing w:before="100" w:beforeAutospacing="1" w:after="100" w:afterAutospacing="1"/>
        <w:rPr>
          <w:rFonts w:ascii="Arial" w:eastAsia="Times New Roman" w:hAnsi="Arial" w:cs="Arial"/>
        </w:rPr>
      </w:pPr>
      <w:r w:rsidRPr="000A5E3A">
        <w:rPr>
          <w:rFonts w:ascii="Arial" w:eastAsia="Times New Roman" w:hAnsi="Arial" w:cs="Arial"/>
        </w:rPr>
        <w:t xml:space="preserve">In summary, the existing RLAN bands (2.4 GHz, 5GHz, lower 6GHz) appear sufficient to meet the requirements of </w:t>
      </w:r>
      <w:proofErr w:type="spellStart"/>
      <w:r w:rsidRPr="000A5E3A">
        <w:rPr>
          <w:rFonts w:ascii="Arial" w:eastAsia="Times New Roman" w:hAnsi="Arial" w:cs="Arial"/>
        </w:rPr>
        <w:t>WiFi</w:t>
      </w:r>
      <w:proofErr w:type="spellEnd"/>
      <w:r w:rsidRPr="000A5E3A">
        <w:rPr>
          <w:rFonts w:ascii="Arial" w:eastAsia="Times New Roman" w:hAnsi="Arial" w:cs="Arial"/>
        </w:rPr>
        <w:t xml:space="preserve"> in South Africa. The field tests run by Comtel show that, in practice and in a very demanding scenario, these bands can achieve </w:t>
      </w:r>
      <w:proofErr w:type="spellStart"/>
      <w:r w:rsidRPr="000A5E3A">
        <w:rPr>
          <w:rFonts w:ascii="Arial" w:eastAsia="Times New Roman" w:hAnsi="Arial" w:cs="Arial"/>
        </w:rPr>
        <w:t>throughtput</w:t>
      </w:r>
      <w:proofErr w:type="spellEnd"/>
      <w:r w:rsidRPr="000A5E3A">
        <w:rPr>
          <w:rFonts w:ascii="Arial" w:eastAsia="Times New Roman" w:hAnsi="Arial" w:cs="Arial"/>
        </w:rPr>
        <w:t xml:space="preserve"> of 1.5 Gbps which is sufficient for residential and enterprise use. Furthermore, the data from </w:t>
      </w:r>
      <w:proofErr w:type="spellStart"/>
      <w:r w:rsidR="00D221B4" w:rsidRPr="000A5E3A">
        <w:rPr>
          <w:rFonts w:ascii="Arial" w:eastAsia="Times New Roman" w:hAnsi="Arial" w:cs="Arial"/>
        </w:rPr>
        <w:t>Ookla</w:t>
      </w:r>
      <w:proofErr w:type="spellEnd"/>
      <w:r w:rsidR="00D221B4" w:rsidRPr="000A5E3A">
        <w:rPr>
          <w:rFonts w:ascii="Arial" w:eastAsia="Times New Roman" w:hAnsi="Arial" w:cs="Arial"/>
        </w:rPr>
        <w:t xml:space="preserve"> from </w:t>
      </w:r>
      <w:r w:rsidRPr="000A5E3A">
        <w:rPr>
          <w:rFonts w:ascii="Arial" w:eastAsia="Times New Roman" w:hAnsi="Arial" w:cs="Arial"/>
        </w:rPr>
        <w:t xml:space="preserve">actual </w:t>
      </w:r>
      <w:proofErr w:type="spellStart"/>
      <w:r w:rsidRPr="000A5E3A">
        <w:rPr>
          <w:rFonts w:ascii="Arial" w:eastAsia="Times New Roman" w:hAnsi="Arial" w:cs="Arial"/>
        </w:rPr>
        <w:t>WiFi</w:t>
      </w:r>
      <w:proofErr w:type="spellEnd"/>
      <w:r w:rsidRPr="000A5E3A">
        <w:rPr>
          <w:rFonts w:ascii="Arial" w:eastAsia="Times New Roman" w:hAnsi="Arial" w:cs="Arial"/>
        </w:rPr>
        <w:t xml:space="preserve"> use in several global cities show that adoption of 6GHz is very limited for now. </w:t>
      </w:r>
    </w:p>
    <w:p w14:paraId="2BFB04B1" w14:textId="77777777" w:rsidR="00185FAA" w:rsidRPr="000A5E3A" w:rsidRDefault="00185FAA" w:rsidP="00185FAA">
      <w:pPr>
        <w:spacing w:before="100" w:beforeAutospacing="1" w:after="100" w:afterAutospacing="1"/>
        <w:rPr>
          <w:rFonts w:ascii="Arial" w:eastAsia="Times New Roman" w:hAnsi="Arial" w:cs="Arial"/>
        </w:rPr>
      </w:pPr>
    </w:p>
    <w:p w14:paraId="57EFD3D7" w14:textId="77777777" w:rsidR="00185FAA" w:rsidRPr="000A5E3A" w:rsidRDefault="00185FAA" w:rsidP="00185FAA">
      <w:pPr>
        <w:spacing w:before="100" w:beforeAutospacing="1" w:after="100" w:afterAutospacing="1"/>
        <w:rPr>
          <w:rFonts w:ascii="Arial" w:eastAsia="Times New Roman" w:hAnsi="Arial" w:cs="Arial"/>
          <w:b/>
          <w:bCs/>
          <w:u w:val="single"/>
        </w:rPr>
      </w:pPr>
      <w:r w:rsidRPr="000A5E3A">
        <w:rPr>
          <w:rFonts w:ascii="Arial" w:eastAsia="Times New Roman" w:hAnsi="Arial" w:cs="Arial"/>
          <w:b/>
          <w:bCs/>
          <w:u w:val="single"/>
        </w:rPr>
        <w:t>Spectrum needs of IMT</w:t>
      </w:r>
    </w:p>
    <w:p w14:paraId="32830994" w14:textId="78F4808A" w:rsidR="00185FAA" w:rsidRPr="000A5E3A" w:rsidRDefault="00185FAA" w:rsidP="00185FAA">
      <w:pPr>
        <w:spacing w:before="100" w:beforeAutospacing="1" w:after="100" w:afterAutospacing="1"/>
        <w:rPr>
          <w:rFonts w:ascii="Arial" w:eastAsia="Times New Roman" w:hAnsi="Arial" w:cs="Arial"/>
        </w:rPr>
      </w:pPr>
      <w:r w:rsidRPr="000A5E3A">
        <w:rPr>
          <w:rFonts w:ascii="Arial" w:eastAsia="Times New Roman" w:hAnsi="Arial" w:cs="Arial"/>
        </w:rPr>
        <w:t>While the annual rate of growth of mobile data traffic has been decreasing in the past few years, the absolute volume of mobile data traffic, that determines the dimensioning</w:t>
      </w:r>
      <w:r w:rsidR="00D221B4" w:rsidRPr="000A5E3A">
        <w:rPr>
          <w:rFonts w:ascii="Arial" w:eastAsia="Times New Roman" w:hAnsi="Arial" w:cs="Arial"/>
        </w:rPr>
        <w:t xml:space="preserve"> of a mobile network</w:t>
      </w:r>
      <w:r w:rsidRPr="000A5E3A">
        <w:rPr>
          <w:rFonts w:ascii="Arial" w:eastAsia="Times New Roman" w:hAnsi="Arial" w:cs="Arial"/>
        </w:rPr>
        <w:t>, has continued to grow significantly year-on-year. The total amount of traffic carried over mobile networks in Sub-Sahara Africa grew by 21% from 2024 to 2025</w:t>
      </w:r>
      <w:r w:rsidRPr="000A5E3A">
        <w:rPr>
          <w:rFonts w:ascii="Arial" w:eastAsia="Times New Roman" w:hAnsi="Arial" w:cs="Arial"/>
          <w:vertAlign w:val="superscript"/>
        </w:rPr>
        <w:footnoteReference w:id="10"/>
      </w:r>
      <w:r w:rsidRPr="000A5E3A">
        <w:rPr>
          <w:rFonts w:ascii="Arial" w:eastAsia="Times New Roman" w:hAnsi="Arial" w:cs="Arial"/>
        </w:rPr>
        <w:t xml:space="preserve">. This traffic growth will continue in the future and can be attributed to several drivers: improved device capabilities, affordable service plans, increased time spent </w:t>
      </w:r>
      <w:r w:rsidRPr="000A5E3A">
        <w:rPr>
          <w:rFonts w:ascii="Arial" w:eastAsia="Times New Roman" w:hAnsi="Arial" w:cs="Arial"/>
        </w:rPr>
        <w:lastRenderedPageBreak/>
        <w:t>consuming services, an increase in data-intensive content, and growth in data consumption due to continued improvements in deployed network performance enabling smoother user experience and new services. 5G networks will continue to rely on mid-band macro-cellular coverage, primarily the 3.5 GHz band that benefits from larger channel bandwidths and provides a cost-effective coverage and higher capacity due to Massive MIMO technological advancements applicable to mid-bands.</w:t>
      </w:r>
    </w:p>
    <w:p w14:paraId="68133F7D" w14:textId="77777777" w:rsidR="00185FAA" w:rsidRPr="000A5E3A" w:rsidRDefault="00185FAA" w:rsidP="00185FAA">
      <w:pPr>
        <w:spacing w:before="100" w:beforeAutospacing="1" w:after="100" w:afterAutospacing="1"/>
        <w:rPr>
          <w:rFonts w:ascii="Arial" w:eastAsia="Times New Roman" w:hAnsi="Arial" w:cs="Arial"/>
        </w:rPr>
      </w:pPr>
      <w:r w:rsidRPr="000A5E3A">
        <w:rPr>
          <w:rFonts w:ascii="Arial" w:eastAsia="Times New Roman" w:hAnsi="Arial" w:cs="Arial"/>
        </w:rPr>
        <w:t>Beyond 2030, mobile operators in Africa will start to introduce 6G. Although the performance requirements of 6G/IMT-2030 are not yet finalized in ITU, it is expected that 6G will have higher user-experienced data rate requirements compared to 5G/IMT-2020 and that 6G will need to deliver higher QoS levels to the end users. Accordingly,3GPP has agreed for 6G a channel bandwidth of 200 MHz while 400 MHz is under consideration</w:t>
      </w:r>
      <w:r w:rsidRPr="000A5E3A">
        <w:rPr>
          <w:rFonts w:ascii="Arial" w:eastAsia="Times New Roman" w:hAnsi="Arial" w:cs="Arial"/>
          <w:vertAlign w:val="superscript"/>
        </w:rPr>
        <w:footnoteReference w:id="11"/>
      </w:r>
      <w:r w:rsidRPr="000A5E3A">
        <w:rPr>
          <w:rFonts w:ascii="Arial" w:eastAsia="Times New Roman" w:hAnsi="Arial" w:cs="Arial"/>
        </w:rPr>
        <w:t>. The availability of the entire Upper 6 GHz band is key to guarantee the initial launch of a competitive 6G service, in particular in countries like South Africa with more than three mobile operators.</w:t>
      </w:r>
    </w:p>
    <w:p w14:paraId="45779E9D" w14:textId="77777777" w:rsidR="00185FAA" w:rsidRPr="000A5E3A" w:rsidRDefault="00185FAA" w:rsidP="00185FAA">
      <w:pPr>
        <w:spacing w:before="100" w:beforeAutospacing="1" w:after="100" w:afterAutospacing="1"/>
        <w:rPr>
          <w:rFonts w:ascii="Arial" w:eastAsia="Times New Roman" w:hAnsi="Arial" w:cs="Arial"/>
        </w:rPr>
      </w:pPr>
      <w:r w:rsidRPr="000A5E3A">
        <w:rPr>
          <w:rFonts w:ascii="Arial" w:eastAsia="Times New Roman" w:hAnsi="Arial" w:cs="Arial"/>
        </w:rPr>
        <w:t>A large channel bandwidth is key for effective deployment of a mobile technology. The introduction of a new band at a site involves the installation of radio units, antenna systems, and digital base band units, as well as the associated passive infrastructure. Ongoing costs include power consumption and maintenance. Most of the costs are the same, irrespective of whether a 100 MHz channel or a 200 MHz channel is implemented. Therefore, the wider the channel that is deployed in a single radio and antenna system, the lower the cost per MHz deployed ‒ hence the lower the cost per bit.</w:t>
      </w:r>
    </w:p>
    <w:p w14:paraId="190CBEB6" w14:textId="291C9BE6" w:rsidR="00185FAA" w:rsidRPr="000A5E3A" w:rsidRDefault="00D221B4" w:rsidP="00185FAA">
      <w:pPr>
        <w:spacing w:before="100" w:beforeAutospacing="1" w:after="100" w:afterAutospacing="1"/>
        <w:rPr>
          <w:rFonts w:ascii="Arial" w:eastAsia="Times New Roman" w:hAnsi="Arial" w:cs="Arial"/>
        </w:rPr>
      </w:pPr>
      <w:r w:rsidRPr="000A5E3A">
        <w:rPr>
          <w:rFonts w:ascii="Arial" w:eastAsia="Times New Roman" w:hAnsi="Arial" w:cs="Arial"/>
        </w:rPr>
        <w:t>Finally</w:t>
      </w:r>
      <w:r w:rsidR="00185FAA" w:rsidRPr="000A5E3A">
        <w:rPr>
          <w:rFonts w:ascii="Arial" w:eastAsia="Times New Roman" w:hAnsi="Arial" w:cs="Arial"/>
        </w:rPr>
        <w:t xml:space="preserve">, </w:t>
      </w:r>
      <w:r w:rsidRPr="000A5E3A">
        <w:rPr>
          <w:rFonts w:ascii="Arial" w:eastAsia="Times New Roman" w:hAnsi="Arial" w:cs="Arial"/>
        </w:rPr>
        <w:t xml:space="preserve">we note that </w:t>
      </w:r>
      <w:r w:rsidR="00185FAA" w:rsidRPr="000A5E3A">
        <w:rPr>
          <w:rFonts w:ascii="Arial" w:eastAsia="Times New Roman" w:hAnsi="Arial" w:cs="Arial"/>
        </w:rPr>
        <w:t>the IMT industry has carried out a series of wide-area macro-cellular field trials with major European mobile network operators</w:t>
      </w:r>
      <w:r w:rsidR="00185FAA" w:rsidRPr="000A5E3A">
        <w:rPr>
          <w:rFonts w:ascii="Arial" w:eastAsia="Times New Roman" w:hAnsi="Arial" w:cs="Arial"/>
          <w:vertAlign w:val="superscript"/>
        </w:rPr>
        <w:footnoteReference w:id="12"/>
      </w:r>
      <w:r w:rsidR="00185FAA" w:rsidRPr="000A5E3A">
        <w:rPr>
          <w:rFonts w:ascii="Arial" w:eastAsia="Times New Roman" w:hAnsi="Arial" w:cs="Arial"/>
        </w:rPr>
        <w:t xml:space="preserve"> in various environments including urban, confirming the coverage and performance expectations of using the existing deployment sites (the C-band deployment grid).</w:t>
      </w:r>
    </w:p>
    <w:p w14:paraId="18FCFF25" w14:textId="77777777" w:rsidR="00185FAA" w:rsidRPr="000A5E3A" w:rsidRDefault="00185FAA" w:rsidP="00185FAA">
      <w:pPr>
        <w:spacing w:before="100" w:beforeAutospacing="1" w:after="100" w:afterAutospacing="1"/>
        <w:rPr>
          <w:rFonts w:ascii="Arial" w:eastAsia="Times New Roman" w:hAnsi="Arial" w:cs="Arial"/>
        </w:rPr>
      </w:pPr>
    </w:p>
    <w:p w14:paraId="3CD4FCAB" w14:textId="77777777" w:rsidR="00185FAA" w:rsidRPr="000A5E3A" w:rsidRDefault="00185FAA" w:rsidP="00185FAA">
      <w:pPr>
        <w:spacing w:before="100" w:beforeAutospacing="1" w:after="100" w:afterAutospacing="1"/>
        <w:rPr>
          <w:rFonts w:ascii="Arial" w:eastAsia="Times New Roman" w:hAnsi="Arial" w:cs="Arial"/>
          <w:b/>
          <w:bCs/>
          <w:u w:val="single"/>
        </w:rPr>
      </w:pPr>
      <w:r w:rsidRPr="000A5E3A">
        <w:rPr>
          <w:rFonts w:ascii="Arial" w:eastAsia="Times New Roman" w:hAnsi="Arial" w:cs="Arial"/>
          <w:b/>
          <w:bCs/>
          <w:u w:val="single"/>
        </w:rPr>
        <w:t>Global developments</w:t>
      </w:r>
    </w:p>
    <w:p w14:paraId="51EDF7DF" w14:textId="77777777" w:rsidR="00185FAA" w:rsidRPr="000A5E3A" w:rsidRDefault="00185FAA" w:rsidP="00185FAA">
      <w:pPr>
        <w:spacing w:before="100" w:beforeAutospacing="1" w:after="100" w:afterAutospacing="1"/>
        <w:rPr>
          <w:rFonts w:ascii="Arial" w:eastAsia="Times New Roman" w:hAnsi="Arial" w:cs="Arial"/>
        </w:rPr>
      </w:pPr>
      <w:r w:rsidRPr="000A5E3A">
        <w:rPr>
          <w:rFonts w:ascii="Arial" w:eastAsia="Times New Roman" w:hAnsi="Arial" w:cs="Arial"/>
        </w:rPr>
        <w:t>We have reported in our main response to the second NRFP consultation the global momentum behind IMT in this band. We highlight here two recent developments:</w:t>
      </w:r>
    </w:p>
    <w:p w14:paraId="314B185A" w14:textId="77777777" w:rsidR="00185FAA" w:rsidRPr="000A5E3A" w:rsidRDefault="00185FAA" w:rsidP="00185FAA">
      <w:pPr>
        <w:numPr>
          <w:ilvl w:val="0"/>
          <w:numId w:val="20"/>
        </w:numPr>
        <w:spacing w:before="100" w:beforeAutospacing="1" w:after="100" w:afterAutospacing="1"/>
        <w:ind w:leftChars="200" w:left="840"/>
        <w:rPr>
          <w:rFonts w:ascii="Arial" w:eastAsia="Times New Roman" w:hAnsi="Arial" w:cs="Arial"/>
        </w:rPr>
      </w:pPr>
      <w:r w:rsidRPr="000A5E3A">
        <w:rPr>
          <w:rFonts w:ascii="Arial" w:eastAsia="Times New Roman" w:hAnsi="Arial" w:cs="Arial"/>
        </w:rPr>
        <w:lastRenderedPageBreak/>
        <w:t>ANATEL, the Brazilian regulator, adopted in December 2025 a Resolution for the IMT release roadmap for the coming years. ANATEL plans to award the 6425-7125 MHz for IMT use in 2028</w:t>
      </w:r>
      <w:r w:rsidRPr="000A5E3A">
        <w:rPr>
          <w:rFonts w:ascii="Arial" w:eastAsia="Times New Roman" w:hAnsi="Arial" w:cs="Arial"/>
          <w:vertAlign w:val="superscript"/>
        </w:rPr>
        <w:footnoteReference w:id="13"/>
      </w:r>
    </w:p>
    <w:p w14:paraId="28F21594" w14:textId="7FA4304C" w:rsidR="00185FAA" w:rsidRPr="000A5E3A" w:rsidRDefault="00185FAA" w:rsidP="00185FAA">
      <w:pPr>
        <w:numPr>
          <w:ilvl w:val="0"/>
          <w:numId w:val="20"/>
        </w:numPr>
        <w:spacing w:before="100" w:beforeAutospacing="1" w:after="100" w:afterAutospacing="1"/>
        <w:ind w:leftChars="200" w:left="840"/>
        <w:rPr>
          <w:rFonts w:ascii="Arial" w:eastAsia="Times New Roman" w:hAnsi="Arial" w:cs="Arial"/>
        </w:rPr>
      </w:pPr>
      <w:r w:rsidRPr="000A5E3A">
        <w:rPr>
          <w:rFonts w:ascii="Arial" w:eastAsia="Times New Roman" w:hAnsi="Arial" w:cs="Arial"/>
        </w:rPr>
        <w:t>In India, the Department for Telecommunications has released the National Frequency Allocation Plan 2025 which features the identification of 6425-7125 MHz for IMT</w:t>
      </w:r>
      <w:r w:rsidRPr="000A5E3A">
        <w:rPr>
          <w:rFonts w:ascii="Arial" w:eastAsia="Times New Roman" w:hAnsi="Arial" w:cs="Arial"/>
          <w:vertAlign w:val="superscript"/>
        </w:rPr>
        <w:footnoteReference w:id="14"/>
      </w:r>
      <w:r w:rsidRPr="000A5E3A">
        <w:rPr>
          <w:rFonts w:ascii="Arial" w:eastAsia="Times New Roman" w:hAnsi="Arial" w:cs="Arial"/>
        </w:rPr>
        <w:t xml:space="preserve">. The DoT has also consulted with TRAI, the Indian regulator, on a possible auction that will include part of the 6425-7125 </w:t>
      </w:r>
      <w:proofErr w:type="spellStart"/>
      <w:r w:rsidR="00B3790C" w:rsidRPr="000A5E3A">
        <w:rPr>
          <w:rFonts w:ascii="Arial" w:eastAsia="Times New Roman" w:hAnsi="Arial" w:cs="Arial"/>
        </w:rPr>
        <w:t>MHz.</w:t>
      </w:r>
      <w:proofErr w:type="spellEnd"/>
      <w:r w:rsidRPr="000A5E3A">
        <w:rPr>
          <w:rFonts w:ascii="Arial" w:eastAsia="Times New Roman" w:hAnsi="Arial" w:cs="Arial"/>
        </w:rPr>
        <w:t xml:space="preserve"> This information is contained in the DoT’s Spectrum Roadmap for 6G services released in December 2025</w:t>
      </w:r>
      <w:r w:rsidRPr="000A5E3A">
        <w:rPr>
          <w:rFonts w:ascii="Arial" w:eastAsia="Times New Roman" w:hAnsi="Arial" w:cs="Arial"/>
          <w:vertAlign w:val="superscript"/>
        </w:rPr>
        <w:footnoteReference w:id="15"/>
      </w:r>
      <w:r w:rsidRPr="000A5E3A">
        <w:rPr>
          <w:rFonts w:ascii="Arial" w:eastAsia="Times New Roman" w:hAnsi="Arial" w:cs="Arial"/>
        </w:rPr>
        <w:t>. This is a notable development, given that India was not supportive of IMT in the band at the WRC-23</w:t>
      </w:r>
    </w:p>
    <w:p w14:paraId="6A32A348" w14:textId="77777777" w:rsidR="00185FAA" w:rsidRPr="000A5E3A" w:rsidRDefault="00185FAA" w:rsidP="00185FAA">
      <w:pPr>
        <w:spacing w:before="100" w:beforeAutospacing="1" w:after="100" w:afterAutospacing="1"/>
        <w:rPr>
          <w:rFonts w:ascii="Arial" w:eastAsia="Times New Roman" w:hAnsi="Arial" w:cs="Arial"/>
        </w:rPr>
      </w:pPr>
    </w:p>
    <w:p w14:paraId="33AEFD2A" w14:textId="77777777" w:rsidR="00185FAA" w:rsidRPr="000A5E3A" w:rsidRDefault="00185FAA" w:rsidP="00185FAA">
      <w:pPr>
        <w:spacing w:before="100" w:beforeAutospacing="1" w:after="100" w:afterAutospacing="1"/>
        <w:rPr>
          <w:rFonts w:ascii="Arial" w:eastAsia="Times New Roman" w:hAnsi="Arial" w:cs="Arial"/>
          <w:b/>
          <w:bCs/>
          <w:u w:val="single"/>
        </w:rPr>
      </w:pPr>
      <w:r w:rsidRPr="000A5E3A">
        <w:rPr>
          <w:rFonts w:ascii="Arial" w:eastAsia="Times New Roman" w:hAnsi="Arial" w:cs="Arial"/>
          <w:b/>
          <w:bCs/>
          <w:u w:val="single"/>
        </w:rPr>
        <w:t>Sharing between IMT and RLANs</w:t>
      </w:r>
    </w:p>
    <w:p w14:paraId="016C5C0C" w14:textId="77777777" w:rsidR="00D221B4" w:rsidRPr="000A5E3A" w:rsidRDefault="00185FAA" w:rsidP="00185FAA">
      <w:pPr>
        <w:spacing w:before="100" w:beforeAutospacing="1" w:after="100" w:afterAutospacing="1"/>
        <w:rPr>
          <w:rFonts w:ascii="Arial" w:eastAsia="Times New Roman" w:hAnsi="Arial" w:cs="Arial"/>
        </w:rPr>
      </w:pPr>
      <w:r w:rsidRPr="000A5E3A">
        <w:rPr>
          <w:rFonts w:ascii="Arial" w:eastAsia="Times New Roman" w:hAnsi="Arial" w:cs="Arial"/>
        </w:rPr>
        <w:t>We note that the draft NRFP makes reference to the studies in CEPT of the shared use between IMT and RLAN. Huawei has been very involved in these studies, which have been conducted by ECC PT1 over 13 meetings. The results of the studies are in ECC Report 366</w:t>
      </w:r>
      <w:r w:rsidRPr="000A5E3A">
        <w:rPr>
          <w:rFonts w:ascii="Arial" w:eastAsia="Times New Roman" w:hAnsi="Arial" w:cs="Arial"/>
          <w:vertAlign w:val="superscript"/>
        </w:rPr>
        <w:footnoteReference w:id="16"/>
      </w:r>
      <w:r w:rsidRPr="000A5E3A">
        <w:rPr>
          <w:rFonts w:ascii="Arial" w:eastAsia="Times New Roman" w:hAnsi="Arial" w:cs="Arial"/>
        </w:rPr>
        <w:t>. The extensive studies concluded that any shared use is unlikely to lead to a more efficient use of spectrum</w:t>
      </w:r>
      <w:r w:rsidR="00D221B4" w:rsidRPr="000A5E3A">
        <w:rPr>
          <w:rFonts w:ascii="Arial" w:eastAsia="Times New Roman" w:hAnsi="Arial" w:cs="Arial"/>
        </w:rPr>
        <w:t>:</w:t>
      </w:r>
    </w:p>
    <w:p w14:paraId="75BBD7FB" w14:textId="77777777" w:rsidR="00D221B4" w:rsidRPr="000A5E3A" w:rsidRDefault="00185FAA" w:rsidP="003A0550">
      <w:pPr>
        <w:pStyle w:val="ListParagraph"/>
        <w:numPr>
          <w:ilvl w:val="0"/>
          <w:numId w:val="21"/>
        </w:numPr>
        <w:spacing w:before="100" w:beforeAutospacing="1" w:after="100" w:afterAutospacing="1"/>
        <w:ind w:firstLineChars="0"/>
        <w:rPr>
          <w:rFonts w:ascii="Arial" w:eastAsia="Times New Roman" w:hAnsi="Arial" w:cs="Arial"/>
          <w:lang w:val="en-GB"/>
        </w:rPr>
      </w:pPr>
      <w:r w:rsidRPr="000A5E3A">
        <w:rPr>
          <w:rFonts w:ascii="Arial" w:eastAsia="Times New Roman" w:hAnsi="Arial" w:cs="Arial"/>
        </w:rPr>
        <w:t xml:space="preserve">The studies considered first the feasibility of shared use by Mobile and RLAN without modifications of the technologies. </w:t>
      </w:r>
      <w:r w:rsidRPr="000A5E3A">
        <w:rPr>
          <w:rFonts w:ascii="Arial" w:eastAsia="Times New Roman" w:hAnsi="Arial" w:cs="Arial"/>
          <w:lang w:val="en-GB"/>
        </w:rPr>
        <w:t>Studies concluded that RLAN performance would be significantly degraded, and Mobile performance somewhat degraded. This is in line with a qualitative assessment of how the technologies would interact</w:t>
      </w:r>
      <w:r w:rsidRPr="000A5E3A">
        <w:rPr>
          <w:rFonts w:ascii="Arial" w:hAnsi="Arial" w:cs="Arial"/>
          <w:vertAlign w:val="superscript"/>
        </w:rPr>
        <w:footnoteReference w:id="17"/>
      </w:r>
      <w:r w:rsidRPr="000A5E3A">
        <w:rPr>
          <w:rFonts w:ascii="Arial" w:eastAsia="Times New Roman" w:hAnsi="Arial" w:cs="Arial"/>
          <w:lang w:val="en-GB"/>
        </w:rPr>
        <w:t xml:space="preserve">. </w:t>
      </w:r>
    </w:p>
    <w:p w14:paraId="50B14BF1" w14:textId="77777777" w:rsidR="00D221B4" w:rsidRPr="000A5E3A" w:rsidRDefault="00185FAA" w:rsidP="00F10202">
      <w:pPr>
        <w:pStyle w:val="ListParagraph"/>
        <w:numPr>
          <w:ilvl w:val="0"/>
          <w:numId w:val="21"/>
        </w:numPr>
        <w:spacing w:before="100" w:beforeAutospacing="1" w:after="100" w:afterAutospacing="1"/>
        <w:ind w:firstLineChars="0"/>
        <w:rPr>
          <w:rFonts w:ascii="Arial" w:eastAsia="Times New Roman" w:hAnsi="Arial" w:cs="Arial"/>
          <w:lang w:val="en-GB"/>
        </w:rPr>
      </w:pPr>
      <w:r w:rsidRPr="000A5E3A">
        <w:rPr>
          <w:rFonts w:ascii="Arial" w:eastAsia="Times New Roman" w:hAnsi="Arial" w:cs="Arial"/>
          <w:lang w:val="en-GB"/>
        </w:rPr>
        <w:t xml:space="preserve">Second, </w:t>
      </w:r>
      <w:r w:rsidRPr="000A5E3A">
        <w:rPr>
          <w:rFonts w:ascii="Arial" w:eastAsia="Times New Roman" w:hAnsi="Arial" w:cs="Arial"/>
        </w:rPr>
        <w:t>ECC PT1 considered a cross-technology signaling mechanism</w:t>
      </w:r>
      <w:r w:rsidR="00D221B4" w:rsidRPr="000A5E3A">
        <w:rPr>
          <w:rFonts w:ascii="Arial" w:eastAsia="Times New Roman" w:hAnsi="Arial" w:cs="Arial"/>
        </w:rPr>
        <w:t>,</w:t>
      </w:r>
      <w:r w:rsidRPr="000A5E3A">
        <w:rPr>
          <w:rFonts w:ascii="Arial" w:eastAsia="Times New Roman" w:hAnsi="Arial" w:cs="Arial"/>
        </w:rPr>
        <w:t xml:space="preserve"> </w:t>
      </w:r>
      <w:r w:rsidR="00D221B4" w:rsidRPr="000A5E3A">
        <w:rPr>
          <w:rFonts w:ascii="Arial" w:eastAsia="Times New Roman" w:hAnsi="Arial" w:cs="Arial"/>
        </w:rPr>
        <w:t xml:space="preserve">yet to be standardized, </w:t>
      </w:r>
      <w:r w:rsidRPr="000A5E3A">
        <w:rPr>
          <w:rFonts w:ascii="Arial" w:eastAsia="Times New Roman" w:hAnsi="Arial" w:cs="Arial"/>
        </w:rPr>
        <w:t xml:space="preserve">based on 801.11bc signals. </w:t>
      </w:r>
      <w:r w:rsidRPr="000A5E3A">
        <w:rPr>
          <w:rFonts w:ascii="Arial" w:eastAsia="Times New Roman" w:hAnsi="Arial" w:cs="Arial"/>
          <w:lang w:val="en-GB"/>
        </w:rPr>
        <w:t xml:space="preserve">Studies concluded that </w:t>
      </w:r>
      <w:r w:rsidRPr="000A5E3A">
        <w:rPr>
          <w:rFonts w:ascii="Arial" w:eastAsia="Times New Roman" w:hAnsi="Arial" w:cs="Arial"/>
        </w:rPr>
        <w:t>cross technology signaling might improve the detection of Mobile signal by RLANs compared to current EDT. However, the mechanisms don’t always perform well, require standardization and agreement by industries, and would be technology specific (</w:t>
      </w:r>
      <w:proofErr w:type="gramStart"/>
      <w:r w:rsidRPr="000A5E3A">
        <w:rPr>
          <w:rFonts w:ascii="Arial" w:eastAsia="Times New Roman" w:hAnsi="Arial" w:cs="Arial"/>
        </w:rPr>
        <w:t>i.e.</w:t>
      </w:r>
      <w:proofErr w:type="gramEnd"/>
      <w:r w:rsidRPr="000A5E3A">
        <w:rPr>
          <w:rFonts w:ascii="Arial" w:eastAsia="Times New Roman" w:hAnsi="Arial" w:cs="Arial"/>
        </w:rPr>
        <w:t xml:space="preserve"> not technology neutral)</w:t>
      </w:r>
    </w:p>
    <w:p w14:paraId="47CA970B" w14:textId="01EBDE06" w:rsidR="00185FAA" w:rsidRPr="000A5E3A" w:rsidRDefault="00185FAA" w:rsidP="00B3790C">
      <w:pPr>
        <w:pStyle w:val="ListParagraph"/>
        <w:numPr>
          <w:ilvl w:val="0"/>
          <w:numId w:val="21"/>
        </w:numPr>
        <w:spacing w:before="100" w:beforeAutospacing="1" w:after="100" w:afterAutospacing="1"/>
        <w:ind w:firstLineChars="0"/>
        <w:rPr>
          <w:rFonts w:ascii="Arial" w:eastAsia="Times New Roman" w:hAnsi="Arial" w:cs="Arial"/>
          <w:lang w:val="en-GB"/>
        </w:rPr>
      </w:pPr>
      <w:r w:rsidRPr="000A5E3A">
        <w:rPr>
          <w:rFonts w:ascii="Arial" w:eastAsia="Times New Roman" w:hAnsi="Arial" w:cs="Arial"/>
          <w:lang w:val="en-GB"/>
        </w:rPr>
        <w:t xml:space="preserve">ECC PT1 also studied a scenario with medium power outdoor Mobile and indoor RLAN.  Coexistence between outdoor Mobile and indoor RLAN would be improved, however overall Mobile performance (notably at cell edge) would be </w:t>
      </w:r>
      <w:r w:rsidRPr="000A5E3A">
        <w:rPr>
          <w:rFonts w:ascii="Arial" w:eastAsia="Times New Roman" w:hAnsi="Arial" w:cs="Arial"/>
          <w:lang w:val="en-GB"/>
        </w:rPr>
        <w:lastRenderedPageBreak/>
        <w:t>degraded to a level deemed unacceptable by mobile operators and CEPT regulators.</w:t>
      </w:r>
    </w:p>
    <w:p w14:paraId="42115225" w14:textId="5376E7B6" w:rsidR="00185FAA" w:rsidRPr="000A5E3A" w:rsidRDefault="00185FAA" w:rsidP="00185FAA">
      <w:pPr>
        <w:spacing w:before="100" w:beforeAutospacing="1" w:after="100" w:afterAutospacing="1"/>
        <w:rPr>
          <w:rFonts w:ascii="Arial" w:eastAsia="Times New Roman" w:hAnsi="Arial" w:cs="Arial"/>
          <w:lang w:val="en-GB"/>
        </w:rPr>
      </w:pPr>
      <w:r w:rsidRPr="000A5E3A">
        <w:rPr>
          <w:rFonts w:ascii="Arial" w:eastAsia="Times New Roman" w:hAnsi="Arial" w:cs="Arial"/>
          <w:lang w:val="en-GB"/>
        </w:rPr>
        <w:t>In summary, the studies and Report 366 reach no firm conclusions. Cross-technology signalling improves detection but it will be challenging to put in place and cannot solve the fact that the two applications are incompatible</w:t>
      </w:r>
      <w:r w:rsidR="00D221B4" w:rsidRPr="000A5E3A">
        <w:rPr>
          <w:rFonts w:ascii="Arial" w:eastAsia="Times New Roman" w:hAnsi="Arial" w:cs="Arial"/>
          <w:lang w:val="en-GB"/>
        </w:rPr>
        <w:t>.</w:t>
      </w:r>
    </w:p>
    <w:p w14:paraId="4553A3F5" w14:textId="77777777" w:rsidR="00C578BD" w:rsidRPr="000A5E3A" w:rsidRDefault="00C578BD" w:rsidP="00185FAA">
      <w:pPr>
        <w:spacing w:before="100" w:beforeAutospacing="1" w:after="100" w:afterAutospacing="1"/>
        <w:rPr>
          <w:rFonts w:ascii="Arial" w:eastAsia="Times New Roman" w:hAnsi="Arial" w:cs="Arial"/>
          <w:b/>
          <w:bCs/>
          <w:u w:val="single"/>
        </w:rPr>
      </w:pPr>
    </w:p>
    <w:p w14:paraId="28B9C76E" w14:textId="2C871542" w:rsidR="00185FAA" w:rsidRPr="000A5E3A" w:rsidRDefault="00A063A7" w:rsidP="00185FAA">
      <w:pPr>
        <w:spacing w:before="100" w:beforeAutospacing="1" w:after="100" w:afterAutospacing="1"/>
        <w:rPr>
          <w:rFonts w:ascii="Arial" w:eastAsia="Times New Roman" w:hAnsi="Arial" w:cs="Arial"/>
          <w:b/>
          <w:bCs/>
          <w:u w:val="single"/>
        </w:rPr>
      </w:pPr>
      <w:r w:rsidRPr="000A5E3A">
        <w:rPr>
          <w:rFonts w:ascii="Arial" w:eastAsia="Times New Roman" w:hAnsi="Arial" w:cs="Arial"/>
          <w:b/>
          <w:bCs/>
          <w:u w:val="single"/>
        </w:rPr>
        <w:t>In-</w:t>
      </w:r>
      <w:r w:rsidR="00185FAA" w:rsidRPr="000A5E3A">
        <w:rPr>
          <w:rFonts w:ascii="Arial" w:eastAsia="Times New Roman" w:hAnsi="Arial" w:cs="Arial"/>
          <w:b/>
          <w:bCs/>
          <w:u w:val="single"/>
        </w:rPr>
        <w:t>Conclusion</w:t>
      </w:r>
    </w:p>
    <w:p w14:paraId="15F4AD6D" w14:textId="6C20645B" w:rsidR="00997597" w:rsidRPr="000A5E3A" w:rsidRDefault="00997597" w:rsidP="00997597">
      <w:pPr>
        <w:spacing w:before="100" w:beforeAutospacing="1" w:after="100" w:afterAutospacing="1"/>
        <w:rPr>
          <w:rFonts w:ascii="Arial" w:eastAsia="Times New Roman" w:hAnsi="Arial" w:cs="Arial"/>
        </w:rPr>
      </w:pPr>
      <w:r w:rsidRPr="000A5E3A">
        <w:rPr>
          <w:rFonts w:ascii="Arial" w:eastAsia="Times New Roman" w:hAnsi="Arial" w:cs="Arial"/>
        </w:rPr>
        <w:t>It is recommended that ICASA keep its position to designate the Upper 6 GHz band for licensed IMT deployment.</w:t>
      </w:r>
      <w:r w:rsidR="00D221B4" w:rsidRPr="000A5E3A">
        <w:rPr>
          <w:rFonts w:ascii="Arial" w:eastAsia="Times New Roman" w:hAnsi="Arial" w:cs="Arial"/>
        </w:rPr>
        <w:t xml:space="preserve"> T</w:t>
      </w:r>
      <w:r w:rsidRPr="000A5E3A">
        <w:rPr>
          <w:rFonts w:ascii="Arial" w:eastAsia="Times New Roman" w:hAnsi="Arial" w:cs="Arial"/>
        </w:rPr>
        <w:t xml:space="preserve">his approach will </w:t>
      </w:r>
      <w:r w:rsidR="00B3790C" w:rsidRPr="000A5E3A">
        <w:rPr>
          <w:rFonts w:ascii="Arial" w:eastAsia="Times New Roman" w:hAnsi="Arial" w:cs="Arial"/>
        </w:rPr>
        <w:t>deliver</w:t>
      </w:r>
      <w:r w:rsidRPr="000A5E3A">
        <w:rPr>
          <w:rFonts w:ascii="Arial" w:eastAsia="Times New Roman" w:hAnsi="Arial" w:cs="Arial"/>
        </w:rPr>
        <w:t xml:space="preserve"> the greatest economic value, addresses anticipated mobile network capacity constraints, and strengthens national broadband performance, thereby supporting economic growth and digital inclusion.</w:t>
      </w:r>
    </w:p>
    <w:p w14:paraId="32AF7E5C" w14:textId="77777777" w:rsidR="001013F1" w:rsidRPr="000A5E3A" w:rsidRDefault="001013F1" w:rsidP="00610CE9">
      <w:pPr>
        <w:autoSpaceDE w:val="0"/>
        <w:autoSpaceDN w:val="0"/>
        <w:adjustRightInd w:val="0"/>
        <w:spacing w:line="360" w:lineRule="auto"/>
        <w:rPr>
          <w:rFonts w:ascii="Arial" w:hAnsi="Arial" w:cs="Arial"/>
          <w:sz w:val="22"/>
          <w:szCs w:val="22"/>
        </w:rPr>
      </w:pPr>
    </w:p>
    <w:sectPr w:rsidR="001013F1" w:rsidRPr="000A5E3A">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84337" w14:textId="77777777" w:rsidR="009567BF" w:rsidRDefault="009567BF">
      <w:r>
        <w:separator/>
      </w:r>
    </w:p>
  </w:endnote>
  <w:endnote w:type="continuationSeparator" w:id="0">
    <w:p w14:paraId="6DCED625" w14:textId="77777777" w:rsidR="009567BF" w:rsidRDefault="00956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kkurat Pro">
    <w:altName w:val="Arial"/>
    <w:panose1 w:val="00000000000000000000"/>
    <w:charset w:val="00"/>
    <w:family w:val="swiss"/>
    <w:notTrueType/>
    <w:pitch w:val="variable"/>
    <w:sig w:usb0="00000001" w:usb1="4000316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2EB95" w14:textId="77777777" w:rsidR="00291D01" w:rsidRPr="009267D7" w:rsidRDefault="00291D01" w:rsidP="00291D01">
    <w:pPr>
      <w:pStyle w:val="Footer"/>
      <w:rPr>
        <w:rFonts w:ascii="Arial" w:hAnsi="Arial" w:cs="Arial"/>
        <w:sz w:val="18"/>
        <w:szCs w:val="18"/>
      </w:rPr>
    </w:pPr>
    <w:r w:rsidRPr="009267D7">
      <w:rPr>
        <w:rFonts w:ascii="Arial" w:hAnsi="Arial" w:cs="Arial"/>
        <w:sz w:val="18"/>
        <w:szCs w:val="18"/>
      </w:rPr>
      <w:t xml:space="preserve">Registration No. </w:t>
    </w:r>
    <w:r w:rsidRPr="009267D7">
      <w:rPr>
        <w:rFonts w:ascii="Arial" w:hAnsi="Arial" w:cs="Arial" w:hint="eastAsia"/>
        <w:sz w:val="18"/>
        <w:szCs w:val="18"/>
      </w:rPr>
      <w:t>1999/</w:t>
    </w:r>
    <w:r>
      <w:rPr>
        <w:rFonts w:ascii="Arial" w:hAnsi="Arial" w:cs="Arial"/>
        <w:sz w:val="18"/>
        <w:szCs w:val="18"/>
      </w:rPr>
      <w:t>0</w:t>
    </w:r>
    <w:r w:rsidRPr="009267D7">
      <w:rPr>
        <w:rFonts w:ascii="Arial" w:hAnsi="Arial" w:cs="Arial" w:hint="eastAsia"/>
        <w:sz w:val="18"/>
        <w:szCs w:val="18"/>
      </w:rPr>
      <w:t>10578/07</w:t>
    </w:r>
  </w:p>
  <w:p w14:paraId="591CBED2" w14:textId="77777777" w:rsidR="00291D01" w:rsidRDefault="00291D01" w:rsidP="00291D01">
    <w:pPr>
      <w:pStyle w:val="Footer"/>
      <w:rPr>
        <w:rFonts w:ascii="Arial" w:hAnsi="Arial" w:cs="Arial"/>
      </w:rPr>
    </w:pPr>
  </w:p>
  <w:p w14:paraId="3ED1689D" w14:textId="6EA152DD" w:rsidR="00291D01" w:rsidRPr="009267D7" w:rsidRDefault="00291D01" w:rsidP="00291D01">
    <w:pPr>
      <w:pStyle w:val="Footer"/>
    </w:pPr>
    <w:r w:rsidRPr="00EB4CE4">
      <w:rPr>
        <w:rFonts w:ascii="Arial" w:hAnsi="Arial" w:cs="Arial"/>
        <w:sz w:val="16"/>
        <w:szCs w:val="16"/>
      </w:rPr>
      <w:t>SHEQ/T-154/HUAWEI TECHNOLOGIES SOUTH AFRICA (PTY) L</w:t>
    </w:r>
    <w:r>
      <w:rPr>
        <w:rFonts w:ascii="Arial" w:hAnsi="Arial" w:cs="Arial"/>
        <w:sz w:val="16"/>
        <w:szCs w:val="16"/>
      </w:rPr>
      <w:t xml:space="preserve">TD                       </w:t>
    </w:r>
    <w:r>
      <w:rPr>
        <w:rFonts w:ascii="Arial" w:hAnsi="Arial" w:cs="Arial"/>
        <w:sz w:val="16"/>
        <w:szCs w:val="16"/>
      </w:rPr>
      <w:tab/>
      <w:t>Rev1:0</w:t>
    </w:r>
    <w:r w:rsidR="001A01B0">
      <w:rPr>
        <w:rFonts w:ascii="Arial" w:hAnsi="Arial" w:cs="Arial"/>
        <w:sz w:val="16"/>
        <w:szCs w:val="16"/>
      </w:rPr>
      <w:t>9</w:t>
    </w:r>
  </w:p>
  <w:p w14:paraId="02A71F36" w14:textId="77777777" w:rsidR="00784062" w:rsidRPr="009267D7" w:rsidRDefault="00784062" w:rsidP="009267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6EC46" w14:textId="77777777" w:rsidR="009567BF" w:rsidRDefault="009567BF">
      <w:r>
        <w:separator/>
      </w:r>
    </w:p>
  </w:footnote>
  <w:footnote w:type="continuationSeparator" w:id="0">
    <w:p w14:paraId="7BDB9041" w14:textId="77777777" w:rsidR="009567BF" w:rsidRDefault="009567BF">
      <w:r>
        <w:continuationSeparator/>
      </w:r>
    </w:p>
  </w:footnote>
  <w:footnote w:id="1">
    <w:p w14:paraId="7529651D" w14:textId="77777777" w:rsidR="00FE4E98" w:rsidRPr="00E4657F" w:rsidRDefault="00FE4E98" w:rsidP="00FE4E98">
      <w:pPr>
        <w:pStyle w:val="FootnoteText"/>
      </w:pPr>
      <w:r>
        <w:rPr>
          <w:rStyle w:val="FootnoteReference"/>
        </w:rPr>
        <w:footnoteRef/>
      </w:r>
      <w:r>
        <w:t xml:space="preserve"> </w:t>
      </w:r>
      <w:hyperlink r:id="rId1" w:history="1">
        <w:r w:rsidRPr="004B4112">
          <w:rPr>
            <w:rStyle w:val="Hyperlink"/>
          </w:rPr>
          <w:t>https://uic.org/IMG/pdf/o-8868_ugfa_report_frmcs_ran_technical_aspects_v1_0.pdf</w:t>
        </w:r>
      </w:hyperlink>
    </w:p>
  </w:footnote>
  <w:footnote w:id="2">
    <w:p w14:paraId="5018F6C8" w14:textId="77777777" w:rsidR="00FE4E98" w:rsidRPr="00B11B78" w:rsidRDefault="00FE4E98" w:rsidP="00FE4E98">
      <w:pPr>
        <w:pStyle w:val="FootnoteText"/>
      </w:pPr>
      <w:r>
        <w:rPr>
          <w:rStyle w:val="FootnoteReference"/>
        </w:rPr>
        <w:footnoteRef/>
      </w:r>
      <w:r>
        <w:t xml:space="preserve"> </w:t>
      </w:r>
      <w:hyperlink r:id="rId2" w:history="1">
        <w:r w:rsidRPr="004B4112">
          <w:rPr>
            <w:rStyle w:val="Hyperlink"/>
          </w:rPr>
          <w:t>https://www.itu.int/en/ITU-R/information/Documents/RES646revWRC-15.pdf</w:t>
        </w:r>
      </w:hyperlink>
    </w:p>
  </w:footnote>
  <w:footnote w:id="3">
    <w:p w14:paraId="2F1FD4AC" w14:textId="5E39A493" w:rsidR="00FE4E98" w:rsidRPr="00B11B78" w:rsidRDefault="00FE4E98" w:rsidP="00FE4E98">
      <w:pPr>
        <w:pStyle w:val="FootnoteText"/>
      </w:pPr>
      <w:r>
        <w:rPr>
          <w:rStyle w:val="FootnoteReference"/>
        </w:rPr>
        <w:footnoteRef/>
      </w:r>
      <w:r>
        <w:t xml:space="preserve"> </w:t>
      </w:r>
      <w:hyperlink r:id="rId3" w:history="1">
        <w:r w:rsidRPr="004B4112">
          <w:rPr>
            <w:rStyle w:val="Hyperlink"/>
          </w:rPr>
          <w:t>https://www.itu.int/rec/R-REC-M.2015-2-201801-I/en</w:t>
        </w:r>
      </w:hyperlink>
    </w:p>
  </w:footnote>
  <w:footnote w:id="4">
    <w:p w14:paraId="5F74150C" w14:textId="646B8460" w:rsidR="00FE4E98" w:rsidRPr="00706E1B" w:rsidRDefault="00FE4E98" w:rsidP="00FE4E98">
      <w:pPr>
        <w:pStyle w:val="FootnoteText"/>
      </w:pPr>
      <w:r>
        <w:rPr>
          <w:rStyle w:val="FootnoteReference"/>
        </w:rPr>
        <w:footnoteRef/>
      </w:r>
      <w:r>
        <w:t xml:space="preserve"> </w:t>
      </w:r>
      <w:hyperlink r:id="rId4" w:history="1">
        <w:r w:rsidRPr="004B4112">
          <w:rPr>
            <w:rStyle w:val="Hyperlink"/>
          </w:rPr>
          <w:t>https://docdb.cept.org/download/1471</w:t>
        </w:r>
      </w:hyperlink>
    </w:p>
  </w:footnote>
  <w:footnote w:id="5">
    <w:p w14:paraId="35AEAF59" w14:textId="19F68CED" w:rsidR="001F58E0" w:rsidRPr="001F58E0" w:rsidRDefault="001F58E0">
      <w:pPr>
        <w:pStyle w:val="FootnoteText"/>
      </w:pPr>
      <w:r>
        <w:rPr>
          <w:rStyle w:val="FootnoteReference"/>
        </w:rPr>
        <w:footnoteRef/>
      </w:r>
      <w:r>
        <w:t xml:space="preserve"> </w:t>
      </w:r>
      <w:r w:rsidRPr="00185FAA">
        <w:rPr>
          <w:rFonts w:eastAsia="Times New Roman" w:cs="Arial"/>
        </w:rPr>
        <w:t>G</w:t>
      </w:r>
      <w:r>
        <w:rPr>
          <w:rFonts w:eastAsia="Times New Roman" w:cs="Arial"/>
        </w:rPr>
        <w:t>overnment Gazette</w:t>
      </w:r>
      <w:r w:rsidRPr="001F58E0">
        <w:t xml:space="preserve"> No. 47792, 21 December 2022</w:t>
      </w:r>
    </w:p>
  </w:footnote>
  <w:footnote w:id="6">
    <w:p w14:paraId="05ED5781" w14:textId="6ACE6F14" w:rsidR="001F58E0" w:rsidRPr="001F58E0" w:rsidRDefault="001F58E0">
      <w:pPr>
        <w:pStyle w:val="FootnoteText"/>
      </w:pPr>
      <w:r>
        <w:rPr>
          <w:rStyle w:val="FootnoteReference"/>
        </w:rPr>
        <w:footnoteRef/>
      </w:r>
      <w:r>
        <w:t xml:space="preserve"> </w:t>
      </w:r>
      <w:r w:rsidRPr="00185FAA">
        <w:rPr>
          <w:rFonts w:eastAsia="Times New Roman" w:cs="Arial"/>
        </w:rPr>
        <w:t>G</w:t>
      </w:r>
      <w:r>
        <w:rPr>
          <w:rFonts w:eastAsia="Times New Roman" w:cs="Arial"/>
        </w:rPr>
        <w:t xml:space="preserve">overnment Gazette </w:t>
      </w:r>
      <w:r w:rsidRPr="00185FAA">
        <w:rPr>
          <w:rFonts w:eastAsia="Times New Roman" w:cs="Arial"/>
        </w:rPr>
        <w:t>No. 48643 (Notice 1822) of 23 May 2023</w:t>
      </w:r>
    </w:p>
  </w:footnote>
  <w:footnote w:id="7">
    <w:p w14:paraId="2D89246B" w14:textId="77777777" w:rsidR="00185FAA" w:rsidRPr="003D15B3" w:rsidRDefault="00185FAA" w:rsidP="00185FAA">
      <w:pPr>
        <w:pStyle w:val="FootnoteText"/>
        <w:ind w:left="420"/>
        <w:rPr>
          <w:lang w:val="en-GB"/>
        </w:rPr>
      </w:pPr>
      <w:r>
        <w:rPr>
          <w:rStyle w:val="FootnoteReference"/>
        </w:rPr>
        <w:footnoteRef/>
      </w:r>
      <w:r>
        <w:t xml:space="preserve"> The socioeconomic benefits of the 6 GHz band, GSMA intelligence, </w:t>
      </w:r>
      <w:hyperlink r:id="rId5" w:history="1">
        <w:r w:rsidRPr="009B6CF6">
          <w:rPr>
            <w:rStyle w:val="Hyperlink"/>
          </w:rPr>
          <w:t>https://www.gsmaintelligence.com/research/research-file-download?id=72941571&amp;file=160622-The-socioeconomic-benefits-of-the-6-GHz-band.pdf</w:t>
        </w:r>
      </w:hyperlink>
      <w:r>
        <w:t xml:space="preserve"> </w:t>
      </w:r>
    </w:p>
  </w:footnote>
  <w:footnote w:id="8">
    <w:p w14:paraId="1FBCD846" w14:textId="77777777" w:rsidR="00D221B4" w:rsidRPr="00FC27B3" w:rsidRDefault="00D221B4" w:rsidP="00D221B4">
      <w:pPr>
        <w:pStyle w:val="FootnoteText"/>
        <w:ind w:left="420"/>
        <w:jc w:val="left"/>
        <w:rPr>
          <w:lang w:val="en-GB"/>
        </w:rPr>
      </w:pPr>
      <w:r>
        <w:rPr>
          <w:rStyle w:val="FootnoteReference"/>
        </w:rPr>
        <w:footnoteRef/>
      </w:r>
      <w:r>
        <w:t xml:space="preserve"> Mobile Evolution in 6 GHz </w:t>
      </w:r>
      <w:proofErr w:type="gramStart"/>
      <w:r>
        <w:t>The</w:t>
      </w:r>
      <w:proofErr w:type="gramEnd"/>
      <w:r>
        <w:t xml:space="preserve"> impact of spectrum assignment options in 6.425–7.125 GHz, GSMA intelligence, </w:t>
      </w:r>
      <w:r w:rsidRPr="00FC27B3">
        <w:t xml:space="preserve"> </w:t>
      </w:r>
      <w:hyperlink r:id="rId6" w:history="1">
        <w:r w:rsidRPr="00670547">
          <w:rPr>
            <w:rStyle w:val="Hyperlink"/>
          </w:rPr>
          <w:t>https://www.gsmaintelligence.com/research/research-file-download?reportId=50315&amp;assetId=7674</w:t>
        </w:r>
      </w:hyperlink>
      <w:r>
        <w:t xml:space="preserve"> </w:t>
      </w:r>
    </w:p>
  </w:footnote>
  <w:footnote w:id="9">
    <w:p w14:paraId="1748DA43" w14:textId="77777777" w:rsidR="00185FAA" w:rsidRPr="00EC3776" w:rsidRDefault="00185FAA" w:rsidP="00185FAA">
      <w:pPr>
        <w:pStyle w:val="FootnoteText"/>
        <w:ind w:left="420"/>
        <w:rPr>
          <w:lang w:val="en-GB"/>
        </w:rPr>
      </w:pPr>
      <w:r>
        <w:rPr>
          <w:rStyle w:val="FootnoteReference"/>
        </w:rPr>
        <w:footnoteRef/>
      </w:r>
      <w:r>
        <w:t xml:space="preserve"> See document ECC PT1(24)156A1, Comtel, “Wi-Fi indoor connectivity tests – Comtel, </w:t>
      </w:r>
      <w:proofErr w:type="spellStart"/>
      <w:r>
        <w:t>Lazise</w:t>
      </w:r>
      <w:proofErr w:type="spellEnd"/>
      <w:r>
        <w:t xml:space="preserve"> (Italy), 21 February to 15 March 2024,” September 2024. </w:t>
      </w:r>
      <w:hyperlink r:id="rId7" w:history="1">
        <w:r w:rsidRPr="009B6CF6">
          <w:rPr>
            <w:rStyle w:val="Hyperlink"/>
          </w:rPr>
          <w:t>https://cept.org/documents/ecc-pt1/84742/ecc-pt1-24-156_huawei-wi-fi-indoor-connectivity-test-by-comtel</w:t>
        </w:r>
      </w:hyperlink>
      <w:r>
        <w:t xml:space="preserve"> </w:t>
      </w:r>
    </w:p>
  </w:footnote>
  <w:footnote w:id="10">
    <w:p w14:paraId="60E9FA9B" w14:textId="77777777" w:rsidR="00185FAA" w:rsidRPr="00312C67" w:rsidRDefault="00185FAA" w:rsidP="00185FAA">
      <w:pPr>
        <w:pStyle w:val="FootnoteText"/>
        <w:ind w:left="420"/>
        <w:rPr>
          <w:lang w:val="en-GB"/>
        </w:rPr>
      </w:pPr>
      <w:r>
        <w:rPr>
          <w:rStyle w:val="FootnoteReference"/>
        </w:rPr>
        <w:footnoteRef/>
      </w:r>
      <w:r w:rsidRPr="00312C67">
        <w:rPr>
          <w:lang w:val="en-GB"/>
        </w:rPr>
        <w:t xml:space="preserve"> Ericsson </w:t>
      </w:r>
      <w:proofErr w:type="spellStart"/>
      <w:r w:rsidRPr="00312C67">
        <w:rPr>
          <w:lang w:val="en-GB"/>
        </w:rPr>
        <w:t>MObility</w:t>
      </w:r>
      <w:proofErr w:type="spellEnd"/>
      <w:r w:rsidRPr="00312C67">
        <w:rPr>
          <w:lang w:val="en-GB"/>
        </w:rPr>
        <w:t xml:space="preserve"> Report 2025, page 35, </w:t>
      </w:r>
      <w:hyperlink r:id="rId8" w:history="1">
        <w:r w:rsidRPr="006D5247">
          <w:rPr>
            <w:rStyle w:val="Hyperlink"/>
            <w:lang w:val="en-GB"/>
          </w:rPr>
          <w:t>https://www.ericsson.com/4aca6f/assets/local/reports-papers/mobility-report/documents/2025/ericsson-mobility-report-november-2025.pdf</w:t>
        </w:r>
      </w:hyperlink>
      <w:r>
        <w:rPr>
          <w:lang w:val="en-GB"/>
        </w:rPr>
        <w:t xml:space="preserve"> </w:t>
      </w:r>
    </w:p>
  </w:footnote>
  <w:footnote w:id="11">
    <w:p w14:paraId="0B3FEF7B" w14:textId="77777777" w:rsidR="00185FAA" w:rsidRPr="00E07576" w:rsidRDefault="00185FAA" w:rsidP="00185FAA">
      <w:pPr>
        <w:pStyle w:val="FootnoteText"/>
        <w:ind w:left="420"/>
      </w:pPr>
      <w:r>
        <w:rPr>
          <w:rStyle w:val="FootnoteReference"/>
        </w:rPr>
        <w:footnoteRef/>
      </w:r>
      <w:r>
        <w:t xml:space="preserve"> See </w:t>
      </w:r>
      <w:r w:rsidRPr="00E07576">
        <w:t>RP-251395</w:t>
      </w:r>
      <w:r>
        <w:t xml:space="preserve">, </w:t>
      </w:r>
      <w:hyperlink r:id="rId9" w:history="1">
        <w:r w:rsidRPr="00B11594">
          <w:rPr>
            <w:rStyle w:val="Hyperlink"/>
          </w:rPr>
          <w:t>https://www.3gpp.org/ftp/tsg_ran/TSG_RAN/TSGR_108/Docs/RP-251395.zip</w:t>
        </w:r>
      </w:hyperlink>
      <w:r>
        <w:t xml:space="preserve"> and the decision from the June 2025 meeting of 3GPP RAN to approve the work item. See meeting report: </w:t>
      </w:r>
      <w:hyperlink r:id="rId10" w:history="1">
        <w:r>
          <w:rPr>
            <w:rStyle w:val="Hyperlink"/>
          </w:rPr>
          <w:t>Directory Listing /Ftp/</w:t>
        </w:r>
        <w:proofErr w:type="spellStart"/>
        <w:r>
          <w:rPr>
            <w:rStyle w:val="Hyperlink"/>
          </w:rPr>
          <w:t>tsg_ran</w:t>
        </w:r>
        <w:proofErr w:type="spellEnd"/>
        <w:r>
          <w:rPr>
            <w:rStyle w:val="Hyperlink"/>
          </w:rPr>
          <w:t>/TSG_RAN/TSGR_108/Report</w:t>
        </w:r>
      </w:hyperlink>
      <w:r>
        <w:t xml:space="preserve"> </w:t>
      </w:r>
    </w:p>
  </w:footnote>
  <w:footnote w:id="12">
    <w:p w14:paraId="2ED2F157" w14:textId="77777777" w:rsidR="00185FAA" w:rsidRDefault="00185FAA" w:rsidP="00185FAA">
      <w:pPr>
        <w:pStyle w:val="FootnoteText"/>
        <w:ind w:left="420"/>
      </w:pPr>
      <w:r>
        <w:rPr>
          <w:rStyle w:val="FootnoteReference"/>
        </w:rPr>
        <w:footnoteRef/>
      </w:r>
      <w:r>
        <w:t xml:space="preserve"> </w:t>
      </w:r>
      <w:r w:rsidRPr="0048740F">
        <w:t>https://www.bt.com/content/dam/bt-plc/assets/documents/about-bt/tech-fellowship/use-of-u6-ghz-band-for-mobile.pdf</w:t>
      </w:r>
    </w:p>
  </w:footnote>
  <w:footnote w:id="13">
    <w:p w14:paraId="6D815E29" w14:textId="77777777" w:rsidR="00185FAA" w:rsidRPr="00DD6B09" w:rsidRDefault="00185FAA" w:rsidP="00185FAA">
      <w:pPr>
        <w:pStyle w:val="FootnoteText"/>
        <w:ind w:left="420"/>
        <w:rPr>
          <w:lang w:val="es-ES"/>
        </w:rPr>
      </w:pPr>
      <w:r>
        <w:rPr>
          <w:rStyle w:val="FootnoteReference"/>
        </w:rPr>
        <w:footnoteRef/>
      </w:r>
      <w:r w:rsidRPr="00DD6B09">
        <w:rPr>
          <w:lang w:val="es-ES"/>
        </w:rPr>
        <w:t xml:space="preserve"> </w:t>
      </w:r>
      <w:r w:rsidRPr="00DD6B09">
        <w:rPr>
          <w:lang w:val="pt-BR"/>
        </w:rPr>
        <w:t>Resolução Anatel nº 785, de 10 de dezembro de 2025</w:t>
      </w:r>
      <w:r>
        <w:rPr>
          <w:lang w:val="pt-BR"/>
        </w:rPr>
        <w:t xml:space="preserve">, </w:t>
      </w:r>
      <w:r w:rsidRPr="00DD6B09">
        <w:rPr>
          <w:lang w:val="es-ES"/>
        </w:rPr>
        <w:t xml:space="preserve"> </w:t>
      </w:r>
      <w:hyperlink r:id="rId11" w:history="1">
        <w:r w:rsidRPr="00DD6B09">
          <w:rPr>
            <w:rStyle w:val="Hyperlink"/>
            <w:lang w:val="es-ES"/>
          </w:rPr>
          <w:t>https://informacoes.anatel.gov.br/legislacao/resolucoes/2025/2081-resolucao-785</w:t>
        </w:r>
      </w:hyperlink>
      <w:r w:rsidRPr="00DD6B09">
        <w:rPr>
          <w:lang w:val="es-ES"/>
        </w:rPr>
        <w:t xml:space="preserve"> </w:t>
      </w:r>
    </w:p>
  </w:footnote>
  <w:footnote w:id="14">
    <w:p w14:paraId="170636A5" w14:textId="77777777" w:rsidR="00185FAA" w:rsidRPr="00CD10C6" w:rsidRDefault="00185FAA" w:rsidP="00185FAA">
      <w:pPr>
        <w:pStyle w:val="FootnoteText"/>
        <w:ind w:left="420"/>
        <w:rPr>
          <w:lang w:val="es-ES"/>
        </w:rPr>
      </w:pPr>
      <w:r>
        <w:rPr>
          <w:rStyle w:val="FootnoteReference"/>
        </w:rPr>
        <w:footnoteRef/>
      </w:r>
      <w:r w:rsidRPr="00CD10C6">
        <w:rPr>
          <w:lang w:val="es-ES"/>
        </w:rPr>
        <w:t xml:space="preserve"> </w:t>
      </w:r>
      <w:hyperlink r:id="rId12" w:history="1">
        <w:r w:rsidRPr="006D5247">
          <w:rPr>
            <w:rStyle w:val="Hyperlink"/>
            <w:lang w:val="es-ES"/>
          </w:rPr>
          <w:t>https://www.pib.gov.in/PressReleasePage.aspx?PRID=2209717&amp;reg=3&amp;lang=1</w:t>
        </w:r>
      </w:hyperlink>
      <w:r>
        <w:rPr>
          <w:lang w:val="es-ES"/>
        </w:rPr>
        <w:t xml:space="preserve"> </w:t>
      </w:r>
    </w:p>
  </w:footnote>
  <w:footnote w:id="15">
    <w:p w14:paraId="646B1335" w14:textId="77777777" w:rsidR="00185FAA" w:rsidRPr="0016210C" w:rsidRDefault="00185FAA" w:rsidP="00185FAA">
      <w:pPr>
        <w:pStyle w:val="FootnoteText"/>
        <w:ind w:left="420"/>
        <w:rPr>
          <w:lang w:val="es-ES"/>
        </w:rPr>
      </w:pPr>
      <w:r>
        <w:rPr>
          <w:rStyle w:val="FootnoteReference"/>
        </w:rPr>
        <w:footnoteRef/>
      </w:r>
      <w:r w:rsidRPr="0016210C">
        <w:rPr>
          <w:lang w:val="es-ES"/>
        </w:rPr>
        <w:t xml:space="preserve"> </w:t>
      </w:r>
      <w:hyperlink r:id="rId13" w:history="1">
        <w:r w:rsidRPr="0016210C">
          <w:rPr>
            <w:rStyle w:val="Hyperlink"/>
            <w:lang w:val="es-ES"/>
          </w:rPr>
          <w:t>https://dot.gov.in/sites/default/files/Spectrum%20Roadmap%20for%206G%20Services.pdf</w:t>
        </w:r>
      </w:hyperlink>
      <w:r>
        <w:rPr>
          <w:lang w:val="es-ES"/>
        </w:rPr>
        <w:t xml:space="preserve"> </w:t>
      </w:r>
    </w:p>
  </w:footnote>
  <w:footnote w:id="16">
    <w:p w14:paraId="7ACCCC17" w14:textId="77777777" w:rsidR="00185FAA" w:rsidRPr="0016210C" w:rsidRDefault="00185FAA" w:rsidP="00185FAA">
      <w:pPr>
        <w:pStyle w:val="FootnoteText"/>
        <w:ind w:left="420"/>
        <w:rPr>
          <w:lang w:val="es-ES"/>
        </w:rPr>
      </w:pPr>
      <w:r>
        <w:rPr>
          <w:rStyle w:val="FootnoteReference"/>
        </w:rPr>
        <w:footnoteRef/>
      </w:r>
      <w:r w:rsidRPr="0016210C">
        <w:rPr>
          <w:lang w:val="es-ES"/>
        </w:rPr>
        <w:t xml:space="preserve"> https://docdb.cept.org/download/4790</w:t>
      </w:r>
    </w:p>
  </w:footnote>
  <w:footnote w:id="17">
    <w:p w14:paraId="1DBE8784" w14:textId="77777777" w:rsidR="00185FAA" w:rsidRPr="002664AC" w:rsidRDefault="00185FAA" w:rsidP="00185FAA">
      <w:pPr>
        <w:pStyle w:val="FootnoteText"/>
        <w:ind w:left="420"/>
        <w:rPr>
          <w:lang w:val="en-GB"/>
        </w:rPr>
      </w:pPr>
      <w:r>
        <w:rPr>
          <w:rStyle w:val="FootnoteReference"/>
        </w:rPr>
        <w:footnoteRef/>
      </w:r>
      <w:r>
        <w:t xml:space="preserve"> </w:t>
      </w:r>
      <w:r w:rsidRPr="002664AC">
        <w:rPr>
          <w:lang w:val="en-GB"/>
        </w:rPr>
        <w:t>Existing RLAN implement energy detection. RLAN equipment that are within the range of a Mobile BS would not transmit, while RLAN equipment at locations with lower Mobile signal levels would continue to transmit. This leads to interference between RLAN and Mobile, in both directions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FD01B" w14:textId="77777777" w:rsidR="00784062" w:rsidRDefault="00784062">
    <w:pPr>
      <w:pStyle w:val="Header"/>
    </w:pPr>
    <w:r>
      <w:rPr>
        <w:noProof/>
      </w:rPr>
      <w:drawing>
        <wp:anchor distT="0" distB="0" distL="114300" distR="114300" simplePos="0" relativeHeight="251666432" behindDoc="0" locked="0" layoutInCell="1" allowOverlap="1" wp14:anchorId="6054784C" wp14:editId="2397D3F4">
          <wp:simplePos x="0" y="0"/>
          <wp:positionH relativeFrom="column">
            <wp:posOffset>-972820</wp:posOffset>
          </wp:positionH>
          <wp:positionV relativeFrom="paragraph">
            <wp:posOffset>-302895</wp:posOffset>
          </wp:positionV>
          <wp:extent cx="604520" cy="614045"/>
          <wp:effectExtent l="0" t="0" r="5080" b="0"/>
          <wp:wrapSquare wrapText="bothSides"/>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GB Verticl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04520" cy="614045"/>
                  </a:xfrm>
                  <a:prstGeom prst="rect">
                    <a:avLst/>
                  </a:prstGeom>
                </pic:spPr>
              </pic:pic>
            </a:graphicData>
          </a:graphic>
          <wp14:sizeRelH relativeFrom="margin">
            <wp14:pctWidth>0</wp14:pctWidth>
          </wp14:sizeRelH>
          <wp14:sizeRelV relativeFrom="margin">
            <wp14:pctHeight>0</wp14:pctHeight>
          </wp14:sizeRelV>
        </wp:anchor>
      </w:drawing>
    </w:r>
    <w:r w:rsidRPr="00590981">
      <w:rPr>
        <w:rFonts w:ascii="Arial" w:hAnsi="Arial"/>
        <w:noProof/>
        <w:sz w:val="20"/>
      </w:rPr>
      <mc:AlternateContent>
        <mc:Choice Requires="wps">
          <w:drawing>
            <wp:anchor distT="45720" distB="45720" distL="114300" distR="114300" simplePos="0" relativeHeight="251660288" behindDoc="0" locked="0" layoutInCell="1" allowOverlap="1" wp14:anchorId="12AAF10A" wp14:editId="42EDC55B">
              <wp:simplePos x="0" y="0"/>
              <wp:positionH relativeFrom="column">
                <wp:posOffset>137160</wp:posOffset>
              </wp:positionH>
              <wp:positionV relativeFrom="paragraph">
                <wp:posOffset>-368300</wp:posOffset>
              </wp:positionV>
              <wp:extent cx="3693794" cy="1402714"/>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3794" cy="1402714"/>
                      </a:xfrm>
                      <a:prstGeom prst="rect">
                        <a:avLst/>
                      </a:prstGeom>
                      <a:noFill/>
                      <a:ln w="9525">
                        <a:noFill/>
                        <a:miter lim="800000"/>
                        <a:headEnd/>
                        <a:tailEnd/>
                      </a:ln>
                    </wps:spPr>
                    <wps:txbx>
                      <w:txbxContent>
                        <w:p w14:paraId="4CCE098E" w14:textId="77777777" w:rsidR="00784062" w:rsidRPr="00241ABC" w:rsidRDefault="00784062" w:rsidP="00590981">
                          <w:pPr>
                            <w:rPr>
                              <w:rFonts w:ascii="Akkurat Pro" w:hAnsi="Akkurat Pro"/>
                              <w:b/>
                              <w:color w:val="595959" w:themeColor="text1" w:themeTint="A6"/>
                            </w:rPr>
                          </w:pPr>
                          <w:r w:rsidRPr="00241ABC">
                            <w:rPr>
                              <w:rFonts w:ascii="Akkurat Pro" w:hAnsi="Akkurat Pro"/>
                              <w:b/>
                              <w:color w:val="595959" w:themeColor="text1" w:themeTint="A6"/>
                            </w:rPr>
                            <w:t>Huawei Technologies South Africa (Pty) Ltd</w:t>
                          </w:r>
                        </w:p>
                        <w:p w14:paraId="17515C8A" w14:textId="77777777" w:rsidR="00784062" w:rsidRDefault="00784062" w:rsidP="00590981">
                          <w:pPr>
                            <w:pStyle w:val="Header"/>
                            <w:rPr>
                              <w:rFonts w:ascii="Akkurat Pro" w:hAnsi="Akkurat Pro"/>
                              <w:color w:val="595959" w:themeColor="text1" w:themeTint="A6"/>
                              <w:sz w:val="18"/>
                              <w:szCs w:val="18"/>
                              <w:lang w:val="it-IT"/>
                            </w:rPr>
                          </w:pPr>
                        </w:p>
                        <w:p w14:paraId="2757D4BB" w14:textId="77777777" w:rsidR="00784062" w:rsidRPr="00590981" w:rsidRDefault="00784062" w:rsidP="00590981">
                          <w:pPr>
                            <w:pStyle w:val="Header"/>
                            <w:rPr>
                              <w:rFonts w:ascii="Akkurat Pro" w:hAnsi="Akkurat Pro"/>
                              <w:color w:val="595959" w:themeColor="text1" w:themeTint="A6"/>
                              <w:sz w:val="18"/>
                              <w:szCs w:val="18"/>
                              <w:lang w:val="it-IT"/>
                            </w:rPr>
                          </w:pPr>
                          <w:r w:rsidRPr="00590981">
                            <w:rPr>
                              <w:rFonts w:ascii="Akkurat Pro" w:hAnsi="Akkurat Pro"/>
                              <w:color w:val="595959" w:themeColor="text1" w:themeTint="A6"/>
                              <w:sz w:val="18"/>
                              <w:szCs w:val="18"/>
                              <w:lang w:val="it-IT"/>
                            </w:rPr>
                            <w:t xml:space="preserve">Huawei Office Park, </w:t>
                          </w:r>
                          <w:r>
                            <w:rPr>
                              <w:rFonts w:ascii="Akkurat Pro" w:hAnsi="Akkurat Pro"/>
                              <w:color w:val="595959" w:themeColor="text1" w:themeTint="A6"/>
                              <w:sz w:val="18"/>
                              <w:szCs w:val="18"/>
                              <w:lang w:val="it-IT"/>
                            </w:rPr>
                            <w:t xml:space="preserve">Building 17, </w:t>
                          </w:r>
                          <w:r w:rsidRPr="00590981">
                            <w:rPr>
                              <w:rFonts w:ascii="Akkurat Pro" w:hAnsi="Akkurat Pro"/>
                              <w:color w:val="595959" w:themeColor="text1" w:themeTint="A6"/>
                              <w:sz w:val="18"/>
                              <w:szCs w:val="18"/>
                              <w:lang w:val="it-IT"/>
                            </w:rPr>
                            <w:t>124 Western Services Road, Woodmead EXT.20, Johannesburg, 2191</w:t>
                          </w:r>
                        </w:p>
                        <w:p w14:paraId="6F88BF0E" w14:textId="77777777" w:rsidR="00784062" w:rsidRDefault="00784062" w:rsidP="00590981">
                          <w:pPr>
                            <w:pStyle w:val="Header"/>
                            <w:rPr>
                              <w:rFonts w:ascii="Akkurat Pro" w:hAnsi="Akkurat Pro"/>
                              <w:color w:val="595959" w:themeColor="text1" w:themeTint="A6"/>
                              <w:lang w:val="it-IT"/>
                            </w:rPr>
                          </w:pPr>
                          <w:r w:rsidRPr="00590981">
                            <w:rPr>
                              <w:rFonts w:ascii="Akkurat Pro" w:hAnsi="Akkurat Pro"/>
                              <w:color w:val="595959" w:themeColor="text1" w:themeTint="A6"/>
                              <w:sz w:val="18"/>
                              <w:szCs w:val="18"/>
                              <w:lang w:val="it-IT"/>
                            </w:rPr>
                            <w:t>South Africa</w:t>
                          </w:r>
                        </w:p>
                        <w:p w14:paraId="29ECDB30" w14:textId="473577D3" w:rsidR="00784062" w:rsidRPr="00590981" w:rsidRDefault="00784062" w:rsidP="00B3790C">
                          <w:pPr>
                            <w:pStyle w:val="Header"/>
                            <w:rPr>
                              <w:rFonts w:ascii="Akkurat Pro" w:hAnsi="Akkurat Pro"/>
                              <w:sz w:val="20"/>
                              <w:szCs w:val="20"/>
                            </w:rPr>
                          </w:pPr>
                          <w:r w:rsidRPr="00590981">
                            <w:rPr>
                              <w:rFonts w:ascii="Akkurat Pro" w:hAnsi="Akkurat Pro"/>
                              <w:b/>
                              <w:color w:val="595959" w:themeColor="text1" w:themeTint="A6"/>
                              <w:sz w:val="18"/>
                              <w:szCs w:val="18"/>
                              <w:lang w:val="it-IT"/>
                            </w:rPr>
                            <w:t>www.huawei.com/za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2AAF10A" id="_x0000_t202" coordsize="21600,21600" o:spt="202" path="m,l,21600r21600,l21600,xe">
              <v:stroke joinstyle="miter"/>
              <v:path gradientshapeok="t" o:connecttype="rect"/>
            </v:shapetype>
            <v:shape id="Text Box 2" o:spid="_x0000_s1026" type="#_x0000_t202" style="position:absolute;margin-left:10.8pt;margin-top:-29pt;width:290.85pt;height:110.45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" filled="f" stroked="f">
              <v:textbox style="mso-fit-shape-to-text:t">
                <w:txbxContent>
                  <w:p w14:paraId="4CCE098E" w14:textId="77777777" w:rsidR="00784062" w:rsidRPr="00241ABC" w:rsidRDefault="00784062" w:rsidP="00590981">
                    <w:pPr>
                      <w:rPr>
                        <w:rFonts w:ascii="Akkurat Pro" w:hAnsi="Akkurat Pro"/>
                        <w:b/>
                        <w:color w:val="595959" w:themeColor="text1" w:themeTint="A6"/>
                      </w:rPr>
                    </w:pPr>
                    <w:r w:rsidRPr="00241ABC">
                      <w:rPr>
                        <w:rFonts w:ascii="Akkurat Pro" w:hAnsi="Akkurat Pro"/>
                        <w:b/>
                        <w:color w:val="595959" w:themeColor="text1" w:themeTint="A6"/>
                      </w:rPr>
                      <w:t>Huawei Technologies South Africa (Pty) Ltd</w:t>
                    </w:r>
                  </w:p>
                  <w:p w14:paraId="17515C8A" w14:textId="77777777" w:rsidR="00784062" w:rsidRDefault="00784062" w:rsidP="00590981">
                    <w:pPr>
                      <w:pStyle w:val="Header"/>
                      <w:rPr>
                        <w:rFonts w:ascii="Akkurat Pro" w:hAnsi="Akkurat Pro"/>
                        <w:color w:val="595959" w:themeColor="text1" w:themeTint="A6"/>
                        <w:sz w:val="18"/>
                        <w:szCs w:val="18"/>
                        <w:lang w:val="it-IT"/>
                      </w:rPr>
                    </w:pPr>
                  </w:p>
                  <w:p w14:paraId="2757D4BB" w14:textId="77777777" w:rsidR="00784062" w:rsidRPr="00590981" w:rsidRDefault="00784062" w:rsidP="00590981">
                    <w:pPr>
                      <w:pStyle w:val="Header"/>
                      <w:rPr>
                        <w:rFonts w:ascii="Akkurat Pro" w:hAnsi="Akkurat Pro"/>
                        <w:color w:val="595959" w:themeColor="text1" w:themeTint="A6"/>
                        <w:sz w:val="18"/>
                        <w:szCs w:val="18"/>
                        <w:lang w:val="it-IT"/>
                      </w:rPr>
                    </w:pPr>
                    <w:r w:rsidRPr="00590981">
                      <w:rPr>
                        <w:rFonts w:ascii="Akkurat Pro" w:hAnsi="Akkurat Pro"/>
                        <w:color w:val="595959" w:themeColor="text1" w:themeTint="A6"/>
                        <w:sz w:val="18"/>
                        <w:szCs w:val="18"/>
                        <w:lang w:val="it-IT"/>
                      </w:rPr>
                      <w:t xml:space="preserve">Huawei Office Park, </w:t>
                    </w:r>
                    <w:r>
                      <w:rPr>
                        <w:rFonts w:ascii="Akkurat Pro" w:hAnsi="Akkurat Pro"/>
                        <w:color w:val="595959" w:themeColor="text1" w:themeTint="A6"/>
                        <w:sz w:val="18"/>
                        <w:szCs w:val="18"/>
                        <w:lang w:val="it-IT"/>
                      </w:rPr>
                      <w:t xml:space="preserve">Building 17, </w:t>
                    </w:r>
                    <w:r w:rsidRPr="00590981">
                      <w:rPr>
                        <w:rFonts w:ascii="Akkurat Pro" w:hAnsi="Akkurat Pro"/>
                        <w:color w:val="595959" w:themeColor="text1" w:themeTint="A6"/>
                        <w:sz w:val="18"/>
                        <w:szCs w:val="18"/>
                        <w:lang w:val="it-IT"/>
                      </w:rPr>
                      <w:t>124 Western Services Road, Woodmead EXT.20, Johannesburg, 2191</w:t>
                    </w:r>
                  </w:p>
                  <w:p w14:paraId="6F88BF0E" w14:textId="77777777" w:rsidR="00784062" w:rsidRDefault="00784062" w:rsidP="00590981">
                    <w:pPr>
                      <w:pStyle w:val="Header"/>
                      <w:rPr>
                        <w:rFonts w:ascii="Akkurat Pro" w:hAnsi="Akkurat Pro"/>
                        <w:color w:val="595959" w:themeColor="text1" w:themeTint="A6"/>
                        <w:lang w:val="it-IT"/>
                      </w:rPr>
                    </w:pPr>
                    <w:r w:rsidRPr="00590981">
                      <w:rPr>
                        <w:rFonts w:ascii="Akkurat Pro" w:hAnsi="Akkurat Pro"/>
                        <w:color w:val="595959" w:themeColor="text1" w:themeTint="A6"/>
                        <w:sz w:val="18"/>
                        <w:szCs w:val="18"/>
                        <w:lang w:val="it-IT"/>
                      </w:rPr>
                      <w:t>South Africa</w:t>
                    </w:r>
                  </w:p>
                  <w:p w14:paraId="29ECDB30" w14:textId="473577D3" w:rsidR="00784062" w:rsidRPr="00590981" w:rsidRDefault="00784062" w:rsidP="00B3790C">
                    <w:pPr>
                      <w:pStyle w:val="Header"/>
                      <w:rPr>
                        <w:rFonts w:ascii="Akkurat Pro" w:hAnsi="Akkurat Pro"/>
                        <w:sz w:val="20"/>
                        <w:szCs w:val="20"/>
                      </w:rPr>
                    </w:pPr>
                    <w:r w:rsidRPr="00590981">
                      <w:rPr>
                        <w:rFonts w:ascii="Akkurat Pro" w:hAnsi="Akkurat Pro"/>
                        <w:b/>
                        <w:color w:val="595959" w:themeColor="text1" w:themeTint="A6"/>
                        <w:sz w:val="18"/>
                        <w:szCs w:val="18"/>
                        <w:lang w:val="it-IT"/>
                      </w:rPr>
                      <w:t>www.huawei.com/za</w:t>
                    </w:r>
                  </w:p>
                </w:txbxContent>
              </v:textbox>
              <w10:wrap type="square"/>
            </v:shape>
          </w:pict>
        </mc:Fallback>
      </mc:AlternateContent>
    </w:r>
  </w:p>
  <w:p w14:paraId="43DF97E4" w14:textId="77777777" w:rsidR="00784062" w:rsidRDefault="00784062">
    <w:pPr>
      <w:pStyle w:val="Header"/>
    </w:pPr>
  </w:p>
  <w:p w14:paraId="73D2D7DF" w14:textId="77777777" w:rsidR="00784062" w:rsidRDefault="00784062">
    <w:pPr>
      <w:pStyle w:val="Header"/>
    </w:pPr>
  </w:p>
  <w:p w14:paraId="608164A8" w14:textId="77777777" w:rsidR="00784062" w:rsidRDefault="00784062">
    <w:pPr>
      <w:pStyle w:val="Header"/>
    </w:pPr>
    <w:r w:rsidRPr="00626DB4">
      <w:rPr>
        <w:noProof/>
      </w:rPr>
      <w:drawing>
        <wp:anchor distT="0" distB="0" distL="114300" distR="114300" simplePos="0" relativeHeight="251662336" behindDoc="0" locked="0" layoutInCell="1" allowOverlap="1" wp14:anchorId="36B8FACB" wp14:editId="717A0334">
          <wp:simplePos x="0" y="0"/>
          <wp:positionH relativeFrom="column">
            <wp:posOffset>-863600</wp:posOffset>
          </wp:positionH>
          <wp:positionV relativeFrom="paragraph">
            <wp:posOffset>-2433320</wp:posOffset>
          </wp:positionV>
          <wp:extent cx="604520" cy="614045"/>
          <wp:effectExtent l="0" t="0" r="5080" b="0"/>
          <wp:wrapSquare wrapText="bothSides"/>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GB Verticl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04520" cy="61404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45720" distL="114300" distR="114300" simplePos="0" relativeHeight="251664384" behindDoc="1" locked="0" layoutInCell="1" allowOverlap="1" wp14:anchorId="70D9CA57" wp14:editId="6E344D89">
              <wp:simplePos x="0" y="0"/>
              <wp:positionH relativeFrom="column">
                <wp:posOffset>4275455</wp:posOffset>
              </wp:positionH>
              <wp:positionV relativeFrom="page">
                <wp:posOffset>124460</wp:posOffset>
              </wp:positionV>
              <wp:extent cx="2292984" cy="2264409"/>
              <wp:effectExtent l="0" t="0" r="0" b="0"/>
              <wp:wrapTight wrapText="bothSides">
                <wp:wrapPolygon edited="0">
                  <wp:start x="539" y="0"/>
                  <wp:lineTo x="539" y="21236"/>
                  <wp:lineTo x="21002" y="21236"/>
                  <wp:lineTo x="21002" y="0"/>
                  <wp:lineTo x="539" y="0"/>
                </wp:wrapPolygon>
              </wp:wrapT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984" cy="2264409"/>
                      </a:xfrm>
                      <a:prstGeom prst="rect">
                        <a:avLst/>
                      </a:prstGeom>
                      <a:noFill/>
                      <a:ln w="9525">
                        <a:noFill/>
                        <a:miter lim="800000"/>
                        <a:headEnd/>
                        <a:tailEnd/>
                      </a:ln>
                    </wps:spPr>
                    <wps:txbx>
                      <w:txbxContent>
                        <w:p w14:paraId="5203E7CF" w14:textId="77777777" w:rsidR="00784062" w:rsidRPr="00241ABC" w:rsidRDefault="00784062" w:rsidP="00590981">
                          <w:pPr>
                            <w:pStyle w:val="Header"/>
                            <w:jc w:val="right"/>
                            <w:rPr>
                              <w:rFonts w:ascii="Akkurat Pro" w:hAnsi="Akkurat Pro"/>
                              <w:color w:val="595959" w:themeColor="text1" w:themeTint="A6"/>
                              <w:sz w:val="16"/>
                              <w:szCs w:val="16"/>
                              <w:lang w:val="it-IT"/>
                            </w:rPr>
                          </w:pPr>
                          <w:r w:rsidRPr="00241ABC">
                            <w:rPr>
                              <w:rFonts w:ascii="Akkurat Pro" w:hAnsi="Akkurat Pro"/>
                              <w:color w:val="595959" w:themeColor="text1" w:themeTint="A6"/>
                              <w:sz w:val="16"/>
                              <w:szCs w:val="16"/>
                              <w:lang w:val="it-IT"/>
                            </w:rPr>
                            <w:t xml:space="preserve">   </w:t>
                          </w:r>
                          <w:r w:rsidRPr="00241ABC">
                            <w:rPr>
                              <w:rFonts w:ascii="Akkurat Pro" w:hAnsi="Akkurat Pro"/>
                              <w:color w:val="595959" w:themeColor="text1" w:themeTint="A6"/>
                              <w:sz w:val="16"/>
                              <w:szCs w:val="16"/>
                              <w:lang w:val="it-IT"/>
                            </w:rPr>
                            <w:t>Tel: +27 (0) 11 -517 9800</w:t>
                          </w:r>
                        </w:p>
                        <w:p w14:paraId="7AE0CBC2" w14:textId="64739F9F" w:rsidR="00784062" w:rsidRPr="00241ABC" w:rsidRDefault="00784062" w:rsidP="00590981">
                          <w:pPr>
                            <w:jc w:val="right"/>
                            <w:rPr>
                              <w:rFonts w:ascii="Akkurat Pro" w:hAnsi="Akkurat Pro"/>
                              <w:color w:val="595959" w:themeColor="text1" w:themeTint="A6"/>
                              <w:sz w:val="16"/>
                              <w:szCs w:val="16"/>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0D9CA57" id="_x0000_s1027" type="#_x0000_t202" style="position:absolute;margin-left:336.65pt;margin-top:9.8pt;width:180.55pt;height:178.3pt;z-index:-251652096;visibility:visible;mso-wrap-style:square;mso-width-percent:400;mso-height-percent:200;mso-wrap-distance-left:9pt;mso-wrap-distance-top:0;mso-wrap-distance-right:9pt;mso-wrap-distance-bottom:3.6pt;mso-position-horizontal:absolute;mso-position-horizontal-relative:text;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" filled="f" stroked="f">
              <v:textbox style="mso-fit-shape-to-text:t">
                <w:txbxContent>
                  <w:p w14:paraId="5203E7CF" w14:textId="77777777" w:rsidR="00784062" w:rsidRPr="00241ABC" w:rsidRDefault="00784062" w:rsidP="00590981">
                    <w:pPr>
                      <w:pStyle w:val="Header"/>
                      <w:jc w:val="right"/>
                      <w:rPr>
                        <w:rFonts w:ascii="Akkurat Pro" w:hAnsi="Akkurat Pro"/>
                        <w:color w:val="595959" w:themeColor="text1" w:themeTint="A6"/>
                        <w:sz w:val="16"/>
                        <w:szCs w:val="16"/>
                        <w:lang w:val="it-IT"/>
                      </w:rPr>
                    </w:pPr>
                    <w:r w:rsidRPr="00241ABC">
                      <w:rPr>
                        <w:rFonts w:ascii="Akkurat Pro" w:hAnsi="Akkurat Pro"/>
                        <w:color w:val="595959" w:themeColor="text1" w:themeTint="A6"/>
                        <w:sz w:val="16"/>
                        <w:szCs w:val="16"/>
                        <w:lang w:val="it-IT"/>
                      </w:rPr>
                      <w:t xml:space="preserve">   </w:t>
                    </w:r>
                    <w:r w:rsidRPr="00241ABC">
                      <w:rPr>
                        <w:rFonts w:ascii="Akkurat Pro" w:hAnsi="Akkurat Pro"/>
                        <w:color w:val="595959" w:themeColor="text1" w:themeTint="A6"/>
                        <w:sz w:val="16"/>
                        <w:szCs w:val="16"/>
                        <w:lang w:val="it-IT"/>
                      </w:rPr>
                      <w:t>Tel: +27 (0) 11 -517 9800</w:t>
                    </w:r>
                  </w:p>
                  <w:p w14:paraId="7AE0CBC2" w14:textId="64739F9F" w:rsidR="00784062" w:rsidRPr="00241ABC" w:rsidRDefault="00784062" w:rsidP="00590981">
                    <w:pPr>
                      <w:jc w:val="right"/>
                      <w:rPr>
                        <w:rFonts w:ascii="Akkurat Pro" w:hAnsi="Akkurat Pro"/>
                        <w:color w:val="595959" w:themeColor="text1" w:themeTint="A6"/>
                        <w:sz w:val="16"/>
                        <w:szCs w:val="16"/>
                      </w:rPr>
                    </w:pPr>
                  </w:p>
                </w:txbxContent>
              </v:textbox>
              <w10:wrap type="tight"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711EF"/>
    <w:multiLevelType w:val="hybridMultilevel"/>
    <w:tmpl w:val="626A0B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644105"/>
    <w:multiLevelType w:val="hybridMultilevel"/>
    <w:tmpl w:val="326A6E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B13369"/>
    <w:multiLevelType w:val="multilevel"/>
    <w:tmpl w:val="F176C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7E6F08"/>
    <w:multiLevelType w:val="hybridMultilevel"/>
    <w:tmpl w:val="8CA2AB28"/>
    <w:lvl w:ilvl="0" w:tplc="08090001">
      <w:start w:val="1"/>
      <w:numFmt w:val="bullet"/>
      <w:lvlText w:val=""/>
      <w:lvlJc w:val="left"/>
      <w:pPr>
        <w:ind w:left="-1840" w:hanging="360"/>
      </w:pPr>
      <w:rPr>
        <w:rFonts w:ascii="Symbol" w:hAnsi="Symbol" w:hint="default"/>
      </w:rPr>
    </w:lvl>
    <w:lvl w:ilvl="1" w:tplc="08090003" w:tentative="1">
      <w:start w:val="1"/>
      <w:numFmt w:val="bullet"/>
      <w:lvlText w:val="o"/>
      <w:lvlJc w:val="left"/>
      <w:pPr>
        <w:ind w:left="-1120" w:hanging="360"/>
      </w:pPr>
      <w:rPr>
        <w:rFonts w:ascii="Courier New" w:hAnsi="Courier New" w:cs="Courier New" w:hint="default"/>
      </w:rPr>
    </w:lvl>
    <w:lvl w:ilvl="2" w:tplc="08090005" w:tentative="1">
      <w:start w:val="1"/>
      <w:numFmt w:val="bullet"/>
      <w:lvlText w:val=""/>
      <w:lvlJc w:val="left"/>
      <w:pPr>
        <w:ind w:left="-400" w:hanging="360"/>
      </w:pPr>
      <w:rPr>
        <w:rFonts w:ascii="Wingdings" w:hAnsi="Wingdings" w:hint="default"/>
      </w:rPr>
    </w:lvl>
    <w:lvl w:ilvl="3" w:tplc="08090001" w:tentative="1">
      <w:start w:val="1"/>
      <w:numFmt w:val="bullet"/>
      <w:lvlText w:val=""/>
      <w:lvlJc w:val="left"/>
      <w:pPr>
        <w:ind w:left="320" w:hanging="360"/>
      </w:pPr>
      <w:rPr>
        <w:rFonts w:ascii="Symbol" w:hAnsi="Symbol" w:hint="default"/>
      </w:rPr>
    </w:lvl>
    <w:lvl w:ilvl="4" w:tplc="08090003" w:tentative="1">
      <w:start w:val="1"/>
      <w:numFmt w:val="bullet"/>
      <w:lvlText w:val="o"/>
      <w:lvlJc w:val="left"/>
      <w:pPr>
        <w:ind w:left="1040" w:hanging="360"/>
      </w:pPr>
      <w:rPr>
        <w:rFonts w:ascii="Courier New" w:hAnsi="Courier New" w:cs="Courier New" w:hint="default"/>
      </w:rPr>
    </w:lvl>
    <w:lvl w:ilvl="5" w:tplc="08090005" w:tentative="1">
      <w:start w:val="1"/>
      <w:numFmt w:val="bullet"/>
      <w:lvlText w:val=""/>
      <w:lvlJc w:val="left"/>
      <w:pPr>
        <w:ind w:left="1760" w:hanging="360"/>
      </w:pPr>
      <w:rPr>
        <w:rFonts w:ascii="Wingdings" w:hAnsi="Wingdings" w:hint="default"/>
      </w:rPr>
    </w:lvl>
    <w:lvl w:ilvl="6" w:tplc="08090001" w:tentative="1">
      <w:start w:val="1"/>
      <w:numFmt w:val="bullet"/>
      <w:lvlText w:val=""/>
      <w:lvlJc w:val="left"/>
      <w:pPr>
        <w:ind w:left="2480" w:hanging="360"/>
      </w:pPr>
      <w:rPr>
        <w:rFonts w:ascii="Symbol" w:hAnsi="Symbol" w:hint="default"/>
      </w:rPr>
    </w:lvl>
    <w:lvl w:ilvl="7" w:tplc="08090003" w:tentative="1">
      <w:start w:val="1"/>
      <w:numFmt w:val="bullet"/>
      <w:lvlText w:val="o"/>
      <w:lvlJc w:val="left"/>
      <w:pPr>
        <w:ind w:left="3200" w:hanging="360"/>
      </w:pPr>
      <w:rPr>
        <w:rFonts w:ascii="Courier New" w:hAnsi="Courier New" w:cs="Courier New" w:hint="default"/>
      </w:rPr>
    </w:lvl>
    <w:lvl w:ilvl="8" w:tplc="08090005" w:tentative="1">
      <w:start w:val="1"/>
      <w:numFmt w:val="bullet"/>
      <w:lvlText w:val=""/>
      <w:lvlJc w:val="left"/>
      <w:pPr>
        <w:ind w:left="3920" w:hanging="360"/>
      </w:pPr>
      <w:rPr>
        <w:rFonts w:ascii="Wingdings" w:hAnsi="Wingdings" w:hint="default"/>
      </w:rPr>
    </w:lvl>
  </w:abstractNum>
  <w:abstractNum w:abstractNumId="4" w15:restartNumberingAfterBreak="0">
    <w:nsid w:val="28D65F0F"/>
    <w:multiLevelType w:val="hybridMultilevel"/>
    <w:tmpl w:val="6FF2390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CCA6AA5"/>
    <w:multiLevelType w:val="hybridMultilevel"/>
    <w:tmpl w:val="1BB4354A"/>
    <w:lvl w:ilvl="0" w:tplc="0409000B">
      <w:start w:val="1"/>
      <w:numFmt w:val="bullet"/>
      <w:lvlText w:val=""/>
      <w:lvlJc w:val="left"/>
      <w:pPr>
        <w:ind w:left="-960" w:hanging="360"/>
      </w:pPr>
      <w:rPr>
        <w:rFonts w:ascii="Wingdings" w:hAnsi="Wingdings" w:hint="default"/>
      </w:rPr>
    </w:lvl>
    <w:lvl w:ilvl="1" w:tplc="04090003">
      <w:start w:val="1"/>
      <w:numFmt w:val="bullet"/>
      <w:lvlText w:val="o"/>
      <w:lvlJc w:val="left"/>
      <w:pPr>
        <w:ind w:left="-240" w:hanging="360"/>
      </w:pPr>
      <w:rPr>
        <w:rFonts w:ascii="Courier New" w:hAnsi="Courier New" w:cs="Courier New" w:hint="default"/>
      </w:rPr>
    </w:lvl>
    <w:lvl w:ilvl="2" w:tplc="04090005">
      <w:start w:val="1"/>
      <w:numFmt w:val="bullet"/>
      <w:lvlText w:val=""/>
      <w:lvlJc w:val="left"/>
      <w:pPr>
        <w:ind w:left="480" w:hanging="360"/>
      </w:pPr>
      <w:rPr>
        <w:rFonts w:ascii="Wingdings" w:hAnsi="Wingdings" w:hint="default"/>
      </w:rPr>
    </w:lvl>
    <w:lvl w:ilvl="3" w:tplc="04090001">
      <w:start w:val="1"/>
      <w:numFmt w:val="bullet"/>
      <w:lvlText w:val=""/>
      <w:lvlJc w:val="left"/>
      <w:pPr>
        <w:ind w:left="1200" w:hanging="360"/>
      </w:pPr>
      <w:rPr>
        <w:rFonts w:ascii="Symbol" w:hAnsi="Symbol" w:hint="default"/>
      </w:rPr>
    </w:lvl>
    <w:lvl w:ilvl="4" w:tplc="04090003" w:tentative="1">
      <w:start w:val="1"/>
      <w:numFmt w:val="bullet"/>
      <w:lvlText w:val="o"/>
      <w:lvlJc w:val="left"/>
      <w:pPr>
        <w:ind w:left="1920" w:hanging="360"/>
      </w:pPr>
      <w:rPr>
        <w:rFonts w:ascii="Courier New" w:hAnsi="Courier New" w:cs="Courier New" w:hint="default"/>
      </w:rPr>
    </w:lvl>
    <w:lvl w:ilvl="5" w:tplc="04090005" w:tentative="1">
      <w:start w:val="1"/>
      <w:numFmt w:val="bullet"/>
      <w:lvlText w:val=""/>
      <w:lvlJc w:val="left"/>
      <w:pPr>
        <w:ind w:left="2640" w:hanging="360"/>
      </w:pPr>
      <w:rPr>
        <w:rFonts w:ascii="Wingdings" w:hAnsi="Wingdings" w:hint="default"/>
      </w:rPr>
    </w:lvl>
    <w:lvl w:ilvl="6" w:tplc="04090001" w:tentative="1">
      <w:start w:val="1"/>
      <w:numFmt w:val="bullet"/>
      <w:lvlText w:val=""/>
      <w:lvlJc w:val="left"/>
      <w:pPr>
        <w:ind w:left="3360" w:hanging="360"/>
      </w:pPr>
      <w:rPr>
        <w:rFonts w:ascii="Symbol" w:hAnsi="Symbol" w:hint="default"/>
      </w:rPr>
    </w:lvl>
    <w:lvl w:ilvl="7" w:tplc="04090003" w:tentative="1">
      <w:start w:val="1"/>
      <w:numFmt w:val="bullet"/>
      <w:lvlText w:val="o"/>
      <w:lvlJc w:val="left"/>
      <w:pPr>
        <w:ind w:left="4080" w:hanging="360"/>
      </w:pPr>
      <w:rPr>
        <w:rFonts w:ascii="Courier New" w:hAnsi="Courier New" w:cs="Courier New" w:hint="default"/>
      </w:rPr>
    </w:lvl>
    <w:lvl w:ilvl="8" w:tplc="04090005" w:tentative="1">
      <w:start w:val="1"/>
      <w:numFmt w:val="bullet"/>
      <w:lvlText w:val=""/>
      <w:lvlJc w:val="left"/>
      <w:pPr>
        <w:ind w:left="4800" w:hanging="360"/>
      </w:pPr>
      <w:rPr>
        <w:rFonts w:ascii="Wingdings" w:hAnsi="Wingdings" w:hint="default"/>
      </w:rPr>
    </w:lvl>
  </w:abstractNum>
  <w:abstractNum w:abstractNumId="6" w15:restartNumberingAfterBreak="0">
    <w:nsid w:val="2F8D6E85"/>
    <w:multiLevelType w:val="hybridMultilevel"/>
    <w:tmpl w:val="B764FCFC"/>
    <w:lvl w:ilvl="0" w:tplc="0409000F">
      <w:start w:val="1"/>
      <w:numFmt w:val="decimal"/>
      <w:lvlText w:val="%1."/>
      <w:lvlJc w:val="left"/>
      <w:pPr>
        <w:ind w:left="-1920" w:hanging="360"/>
      </w:pPr>
    </w:lvl>
    <w:lvl w:ilvl="1" w:tplc="04090019" w:tentative="1">
      <w:start w:val="1"/>
      <w:numFmt w:val="lowerLetter"/>
      <w:lvlText w:val="%2."/>
      <w:lvlJc w:val="left"/>
      <w:pPr>
        <w:ind w:left="-1200" w:hanging="360"/>
      </w:pPr>
    </w:lvl>
    <w:lvl w:ilvl="2" w:tplc="0409001B" w:tentative="1">
      <w:start w:val="1"/>
      <w:numFmt w:val="lowerRoman"/>
      <w:lvlText w:val="%3."/>
      <w:lvlJc w:val="right"/>
      <w:pPr>
        <w:ind w:left="-480" w:hanging="180"/>
      </w:pPr>
    </w:lvl>
    <w:lvl w:ilvl="3" w:tplc="0409000F" w:tentative="1">
      <w:start w:val="1"/>
      <w:numFmt w:val="decimal"/>
      <w:lvlText w:val="%4."/>
      <w:lvlJc w:val="left"/>
      <w:pPr>
        <w:ind w:left="240" w:hanging="360"/>
      </w:pPr>
    </w:lvl>
    <w:lvl w:ilvl="4" w:tplc="04090019" w:tentative="1">
      <w:start w:val="1"/>
      <w:numFmt w:val="lowerLetter"/>
      <w:lvlText w:val="%5."/>
      <w:lvlJc w:val="left"/>
      <w:pPr>
        <w:ind w:left="960" w:hanging="360"/>
      </w:pPr>
    </w:lvl>
    <w:lvl w:ilvl="5" w:tplc="0409001B" w:tentative="1">
      <w:start w:val="1"/>
      <w:numFmt w:val="lowerRoman"/>
      <w:lvlText w:val="%6."/>
      <w:lvlJc w:val="right"/>
      <w:pPr>
        <w:ind w:left="1680" w:hanging="180"/>
      </w:pPr>
    </w:lvl>
    <w:lvl w:ilvl="6" w:tplc="0409000F" w:tentative="1">
      <w:start w:val="1"/>
      <w:numFmt w:val="decimal"/>
      <w:lvlText w:val="%7."/>
      <w:lvlJc w:val="left"/>
      <w:pPr>
        <w:ind w:left="2400" w:hanging="360"/>
      </w:pPr>
    </w:lvl>
    <w:lvl w:ilvl="7" w:tplc="04090019" w:tentative="1">
      <w:start w:val="1"/>
      <w:numFmt w:val="lowerLetter"/>
      <w:lvlText w:val="%8."/>
      <w:lvlJc w:val="left"/>
      <w:pPr>
        <w:ind w:left="3120" w:hanging="360"/>
      </w:pPr>
    </w:lvl>
    <w:lvl w:ilvl="8" w:tplc="0409001B" w:tentative="1">
      <w:start w:val="1"/>
      <w:numFmt w:val="lowerRoman"/>
      <w:lvlText w:val="%9."/>
      <w:lvlJc w:val="right"/>
      <w:pPr>
        <w:ind w:left="3840" w:hanging="180"/>
      </w:pPr>
    </w:lvl>
  </w:abstractNum>
  <w:abstractNum w:abstractNumId="7" w15:restartNumberingAfterBreak="0">
    <w:nsid w:val="3513560E"/>
    <w:multiLevelType w:val="hybridMultilevel"/>
    <w:tmpl w:val="43069530"/>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8" w15:restartNumberingAfterBreak="0">
    <w:nsid w:val="3BF974FC"/>
    <w:multiLevelType w:val="multilevel"/>
    <w:tmpl w:val="C5A4D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4C5FE8"/>
    <w:multiLevelType w:val="hybridMultilevel"/>
    <w:tmpl w:val="FFAC33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DF11885"/>
    <w:multiLevelType w:val="hybridMultilevel"/>
    <w:tmpl w:val="D0EEC3D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3D87C58"/>
    <w:multiLevelType w:val="hybridMultilevel"/>
    <w:tmpl w:val="0D3C3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55501A"/>
    <w:multiLevelType w:val="hybridMultilevel"/>
    <w:tmpl w:val="59C40AF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0E06CB8"/>
    <w:multiLevelType w:val="hybridMultilevel"/>
    <w:tmpl w:val="5EDA2DFE"/>
    <w:lvl w:ilvl="0" w:tplc="04090001">
      <w:start w:val="1"/>
      <w:numFmt w:val="bullet"/>
      <w:lvlText w:val=""/>
      <w:lvlJc w:val="left"/>
      <w:pPr>
        <w:ind w:left="720" w:hanging="360"/>
      </w:pPr>
      <w:rPr>
        <w:rFonts w:ascii="Symbol" w:hAnsi="Symbol" w:hint="default"/>
      </w:rPr>
    </w:lvl>
    <w:lvl w:ilvl="1" w:tplc="0409001B">
      <w:start w:val="1"/>
      <w:numFmt w:val="lowerRoman"/>
      <w:lvlText w:val="%2."/>
      <w:lvlJc w:val="righ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517989"/>
    <w:multiLevelType w:val="hybridMultilevel"/>
    <w:tmpl w:val="BF42F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326CF5"/>
    <w:multiLevelType w:val="hybridMultilevel"/>
    <w:tmpl w:val="6A548D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BC10C53"/>
    <w:multiLevelType w:val="multilevel"/>
    <w:tmpl w:val="F7F63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A8424C"/>
    <w:multiLevelType w:val="multilevel"/>
    <w:tmpl w:val="23FE5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191FFA"/>
    <w:multiLevelType w:val="hybridMultilevel"/>
    <w:tmpl w:val="E17E5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ED69FD"/>
    <w:multiLevelType w:val="hybridMultilevel"/>
    <w:tmpl w:val="82265B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8FA72AF"/>
    <w:multiLevelType w:val="multilevel"/>
    <w:tmpl w:val="07F8035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8"/>
  </w:num>
  <w:num w:numId="2">
    <w:abstractNumId w:val="15"/>
  </w:num>
  <w:num w:numId="3">
    <w:abstractNumId w:val="10"/>
  </w:num>
  <w:num w:numId="4">
    <w:abstractNumId w:val="12"/>
  </w:num>
  <w:num w:numId="5">
    <w:abstractNumId w:val="14"/>
  </w:num>
  <w:num w:numId="6">
    <w:abstractNumId w:val="0"/>
  </w:num>
  <w:num w:numId="7">
    <w:abstractNumId w:val="4"/>
  </w:num>
  <w:num w:numId="8">
    <w:abstractNumId w:val="18"/>
  </w:num>
  <w:num w:numId="9">
    <w:abstractNumId w:val="13"/>
  </w:num>
  <w:num w:numId="10">
    <w:abstractNumId w:val="6"/>
  </w:num>
  <w:num w:numId="11">
    <w:abstractNumId w:val="19"/>
  </w:num>
  <w:num w:numId="12">
    <w:abstractNumId w:val="5"/>
  </w:num>
  <w:num w:numId="13">
    <w:abstractNumId w:val="16"/>
  </w:num>
  <w:num w:numId="14">
    <w:abstractNumId w:val="9"/>
  </w:num>
  <w:num w:numId="15">
    <w:abstractNumId w:val="11"/>
  </w:num>
  <w:num w:numId="16">
    <w:abstractNumId w:val="1"/>
  </w:num>
  <w:num w:numId="17">
    <w:abstractNumId w:val="2"/>
  </w:num>
  <w:num w:numId="18">
    <w:abstractNumId w:val="17"/>
  </w:num>
  <w:num w:numId="19">
    <w:abstractNumId w:val="20"/>
  </w:num>
  <w:num w:numId="20">
    <w:abstractNumId w:val="3"/>
  </w:num>
  <w:num w:numId="21">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D6C"/>
    <w:rsid w:val="0000659A"/>
    <w:rsid w:val="00010A3C"/>
    <w:rsid w:val="00010F02"/>
    <w:rsid w:val="0001467C"/>
    <w:rsid w:val="00014EA5"/>
    <w:rsid w:val="00017347"/>
    <w:rsid w:val="0002204B"/>
    <w:rsid w:val="0003583D"/>
    <w:rsid w:val="00037EA6"/>
    <w:rsid w:val="00040328"/>
    <w:rsid w:val="00040603"/>
    <w:rsid w:val="00043842"/>
    <w:rsid w:val="0004397B"/>
    <w:rsid w:val="00052127"/>
    <w:rsid w:val="000531A9"/>
    <w:rsid w:val="00054346"/>
    <w:rsid w:val="00057E5E"/>
    <w:rsid w:val="00060EED"/>
    <w:rsid w:val="000619F8"/>
    <w:rsid w:val="00064C6F"/>
    <w:rsid w:val="000679C5"/>
    <w:rsid w:val="00067B17"/>
    <w:rsid w:val="000707F2"/>
    <w:rsid w:val="00070D0D"/>
    <w:rsid w:val="000722A3"/>
    <w:rsid w:val="00074513"/>
    <w:rsid w:val="00075D7F"/>
    <w:rsid w:val="0007633A"/>
    <w:rsid w:val="00076EB9"/>
    <w:rsid w:val="00081F5D"/>
    <w:rsid w:val="000870E5"/>
    <w:rsid w:val="000A1972"/>
    <w:rsid w:val="000A55AA"/>
    <w:rsid w:val="000A5E3A"/>
    <w:rsid w:val="000B1B35"/>
    <w:rsid w:val="000B36C2"/>
    <w:rsid w:val="000B61D0"/>
    <w:rsid w:val="000B7E8D"/>
    <w:rsid w:val="000C3355"/>
    <w:rsid w:val="000C415F"/>
    <w:rsid w:val="000C5406"/>
    <w:rsid w:val="000C766A"/>
    <w:rsid w:val="000D02B9"/>
    <w:rsid w:val="000D313D"/>
    <w:rsid w:val="000E2D42"/>
    <w:rsid w:val="000E2DBE"/>
    <w:rsid w:val="000F01B0"/>
    <w:rsid w:val="000F6727"/>
    <w:rsid w:val="001013F1"/>
    <w:rsid w:val="00101DBA"/>
    <w:rsid w:val="00102D02"/>
    <w:rsid w:val="00103FD1"/>
    <w:rsid w:val="001147A4"/>
    <w:rsid w:val="0012172B"/>
    <w:rsid w:val="00122AF2"/>
    <w:rsid w:val="001247C2"/>
    <w:rsid w:val="0013075A"/>
    <w:rsid w:val="00130DD1"/>
    <w:rsid w:val="00137766"/>
    <w:rsid w:val="001409A9"/>
    <w:rsid w:val="00146923"/>
    <w:rsid w:val="00150FB5"/>
    <w:rsid w:val="00154077"/>
    <w:rsid w:val="00155D3E"/>
    <w:rsid w:val="00155F12"/>
    <w:rsid w:val="001573B0"/>
    <w:rsid w:val="001606E8"/>
    <w:rsid w:val="00162157"/>
    <w:rsid w:val="001622E1"/>
    <w:rsid w:val="00165840"/>
    <w:rsid w:val="00170655"/>
    <w:rsid w:val="00176B00"/>
    <w:rsid w:val="00177CB5"/>
    <w:rsid w:val="00185FAA"/>
    <w:rsid w:val="001914A3"/>
    <w:rsid w:val="001A01B0"/>
    <w:rsid w:val="001A4E9E"/>
    <w:rsid w:val="001A6E3E"/>
    <w:rsid w:val="001B19EC"/>
    <w:rsid w:val="001B2039"/>
    <w:rsid w:val="001B5E67"/>
    <w:rsid w:val="001C2EF7"/>
    <w:rsid w:val="001C75D8"/>
    <w:rsid w:val="001D074B"/>
    <w:rsid w:val="001D1F24"/>
    <w:rsid w:val="001D2D78"/>
    <w:rsid w:val="001D3C95"/>
    <w:rsid w:val="001D4481"/>
    <w:rsid w:val="001D4E0F"/>
    <w:rsid w:val="001D63CA"/>
    <w:rsid w:val="001D6748"/>
    <w:rsid w:val="001D74A7"/>
    <w:rsid w:val="001E4529"/>
    <w:rsid w:val="001E53A9"/>
    <w:rsid w:val="001F0958"/>
    <w:rsid w:val="001F2B1C"/>
    <w:rsid w:val="001F4FC0"/>
    <w:rsid w:val="001F5728"/>
    <w:rsid w:val="001F58E0"/>
    <w:rsid w:val="001F76DC"/>
    <w:rsid w:val="00201490"/>
    <w:rsid w:val="00202E2B"/>
    <w:rsid w:val="00205B1F"/>
    <w:rsid w:val="002122DF"/>
    <w:rsid w:val="00212568"/>
    <w:rsid w:val="00213F75"/>
    <w:rsid w:val="00214381"/>
    <w:rsid w:val="00220A4C"/>
    <w:rsid w:val="002335ED"/>
    <w:rsid w:val="0023448B"/>
    <w:rsid w:val="00236D12"/>
    <w:rsid w:val="002425CB"/>
    <w:rsid w:val="002439E2"/>
    <w:rsid w:val="00250709"/>
    <w:rsid w:val="00250D13"/>
    <w:rsid w:val="00252FF1"/>
    <w:rsid w:val="0025420D"/>
    <w:rsid w:val="0025580F"/>
    <w:rsid w:val="00264379"/>
    <w:rsid w:val="00266E5C"/>
    <w:rsid w:val="00280E9E"/>
    <w:rsid w:val="00281EB4"/>
    <w:rsid w:val="002841F7"/>
    <w:rsid w:val="00285B50"/>
    <w:rsid w:val="00286AFA"/>
    <w:rsid w:val="00291D01"/>
    <w:rsid w:val="002927A0"/>
    <w:rsid w:val="002B03D8"/>
    <w:rsid w:val="002B08CE"/>
    <w:rsid w:val="002B3544"/>
    <w:rsid w:val="002B7C2B"/>
    <w:rsid w:val="002C571B"/>
    <w:rsid w:val="002C6CC5"/>
    <w:rsid w:val="002D3D6C"/>
    <w:rsid w:val="002D5992"/>
    <w:rsid w:val="002E0487"/>
    <w:rsid w:val="002E1DA1"/>
    <w:rsid w:val="002E28DA"/>
    <w:rsid w:val="002E7FD6"/>
    <w:rsid w:val="002F1CEE"/>
    <w:rsid w:val="002F41CB"/>
    <w:rsid w:val="002F766B"/>
    <w:rsid w:val="003029F0"/>
    <w:rsid w:val="00306087"/>
    <w:rsid w:val="0030697F"/>
    <w:rsid w:val="00321AEB"/>
    <w:rsid w:val="00321B4E"/>
    <w:rsid w:val="00323872"/>
    <w:rsid w:val="0033091F"/>
    <w:rsid w:val="00331112"/>
    <w:rsid w:val="00335B87"/>
    <w:rsid w:val="00340AE2"/>
    <w:rsid w:val="00340C0E"/>
    <w:rsid w:val="00344CD7"/>
    <w:rsid w:val="00351FA0"/>
    <w:rsid w:val="003555E1"/>
    <w:rsid w:val="00356213"/>
    <w:rsid w:val="00364F9F"/>
    <w:rsid w:val="00366FF9"/>
    <w:rsid w:val="0037583D"/>
    <w:rsid w:val="0038045C"/>
    <w:rsid w:val="00382FFB"/>
    <w:rsid w:val="00384797"/>
    <w:rsid w:val="00391C4A"/>
    <w:rsid w:val="00395A6B"/>
    <w:rsid w:val="00397423"/>
    <w:rsid w:val="003A217E"/>
    <w:rsid w:val="003A785B"/>
    <w:rsid w:val="003B2FDA"/>
    <w:rsid w:val="003C12BD"/>
    <w:rsid w:val="003C4EFC"/>
    <w:rsid w:val="003C57B3"/>
    <w:rsid w:val="003C6BC6"/>
    <w:rsid w:val="003D7DBC"/>
    <w:rsid w:val="003E0C44"/>
    <w:rsid w:val="003E5B7A"/>
    <w:rsid w:val="003E6AE5"/>
    <w:rsid w:val="00403A6F"/>
    <w:rsid w:val="00414C8D"/>
    <w:rsid w:val="004163DA"/>
    <w:rsid w:val="00416697"/>
    <w:rsid w:val="00424872"/>
    <w:rsid w:val="0042544F"/>
    <w:rsid w:val="00426770"/>
    <w:rsid w:val="00430F90"/>
    <w:rsid w:val="004325C0"/>
    <w:rsid w:val="004347D9"/>
    <w:rsid w:val="00435B50"/>
    <w:rsid w:val="00440494"/>
    <w:rsid w:val="004426E6"/>
    <w:rsid w:val="00443256"/>
    <w:rsid w:val="0046613D"/>
    <w:rsid w:val="004676CB"/>
    <w:rsid w:val="00470D51"/>
    <w:rsid w:val="00471DE5"/>
    <w:rsid w:val="00482247"/>
    <w:rsid w:val="00485B5F"/>
    <w:rsid w:val="00486597"/>
    <w:rsid w:val="00486C65"/>
    <w:rsid w:val="0049366C"/>
    <w:rsid w:val="004A1C95"/>
    <w:rsid w:val="004A2692"/>
    <w:rsid w:val="004B4822"/>
    <w:rsid w:val="004B619B"/>
    <w:rsid w:val="004B77A8"/>
    <w:rsid w:val="004C1AEB"/>
    <w:rsid w:val="004C2777"/>
    <w:rsid w:val="004C278C"/>
    <w:rsid w:val="004C292A"/>
    <w:rsid w:val="004D05FC"/>
    <w:rsid w:val="004D600D"/>
    <w:rsid w:val="004E0FD5"/>
    <w:rsid w:val="004E4E42"/>
    <w:rsid w:val="004E6256"/>
    <w:rsid w:val="004F0F37"/>
    <w:rsid w:val="004F3D40"/>
    <w:rsid w:val="004F5193"/>
    <w:rsid w:val="004F79F9"/>
    <w:rsid w:val="00501E39"/>
    <w:rsid w:val="00502488"/>
    <w:rsid w:val="00506310"/>
    <w:rsid w:val="00507B75"/>
    <w:rsid w:val="005113C9"/>
    <w:rsid w:val="00527469"/>
    <w:rsid w:val="0053058A"/>
    <w:rsid w:val="0053095F"/>
    <w:rsid w:val="00535AE9"/>
    <w:rsid w:val="00537AC0"/>
    <w:rsid w:val="00542DA9"/>
    <w:rsid w:val="00543462"/>
    <w:rsid w:val="0054452A"/>
    <w:rsid w:val="005523A7"/>
    <w:rsid w:val="00557D1F"/>
    <w:rsid w:val="00565643"/>
    <w:rsid w:val="00566EF8"/>
    <w:rsid w:val="00583106"/>
    <w:rsid w:val="00584974"/>
    <w:rsid w:val="005872AA"/>
    <w:rsid w:val="00590981"/>
    <w:rsid w:val="00594E28"/>
    <w:rsid w:val="005A05EE"/>
    <w:rsid w:val="005A3E57"/>
    <w:rsid w:val="005B23E8"/>
    <w:rsid w:val="005B379F"/>
    <w:rsid w:val="005B764B"/>
    <w:rsid w:val="005C137D"/>
    <w:rsid w:val="005C15C3"/>
    <w:rsid w:val="005C2531"/>
    <w:rsid w:val="005C3D14"/>
    <w:rsid w:val="005C4662"/>
    <w:rsid w:val="005C743B"/>
    <w:rsid w:val="005E239E"/>
    <w:rsid w:val="005E7FB6"/>
    <w:rsid w:val="005F3DB7"/>
    <w:rsid w:val="005F4DB8"/>
    <w:rsid w:val="005F5C44"/>
    <w:rsid w:val="005F7AA1"/>
    <w:rsid w:val="00600AB0"/>
    <w:rsid w:val="00601939"/>
    <w:rsid w:val="00602847"/>
    <w:rsid w:val="00606F8A"/>
    <w:rsid w:val="00610CE9"/>
    <w:rsid w:val="0061247A"/>
    <w:rsid w:val="0061584F"/>
    <w:rsid w:val="00615AC1"/>
    <w:rsid w:val="00617B0F"/>
    <w:rsid w:val="00617C75"/>
    <w:rsid w:val="0062260B"/>
    <w:rsid w:val="00636622"/>
    <w:rsid w:val="00637BB5"/>
    <w:rsid w:val="00644EA3"/>
    <w:rsid w:val="00645EC1"/>
    <w:rsid w:val="006461A5"/>
    <w:rsid w:val="00650118"/>
    <w:rsid w:val="0065472A"/>
    <w:rsid w:val="00660AA9"/>
    <w:rsid w:val="0066644B"/>
    <w:rsid w:val="00667E66"/>
    <w:rsid w:val="00675867"/>
    <w:rsid w:val="006762E0"/>
    <w:rsid w:val="00676A84"/>
    <w:rsid w:val="00680FC6"/>
    <w:rsid w:val="006847BB"/>
    <w:rsid w:val="0069191C"/>
    <w:rsid w:val="00697A7A"/>
    <w:rsid w:val="006A138F"/>
    <w:rsid w:val="006A65F7"/>
    <w:rsid w:val="006A6BF7"/>
    <w:rsid w:val="006A7543"/>
    <w:rsid w:val="006B13EC"/>
    <w:rsid w:val="006B4F53"/>
    <w:rsid w:val="006C69FF"/>
    <w:rsid w:val="006E1868"/>
    <w:rsid w:val="006E2FC5"/>
    <w:rsid w:val="006E3428"/>
    <w:rsid w:val="006E5F11"/>
    <w:rsid w:val="006F1BB5"/>
    <w:rsid w:val="006F6D95"/>
    <w:rsid w:val="00701CF3"/>
    <w:rsid w:val="0070604A"/>
    <w:rsid w:val="00706447"/>
    <w:rsid w:val="00710513"/>
    <w:rsid w:val="00710961"/>
    <w:rsid w:val="00712784"/>
    <w:rsid w:val="00715F8B"/>
    <w:rsid w:val="00717D6B"/>
    <w:rsid w:val="00722861"/>
    <w:rsid w:val="00726BF4"/>
    <w:rsid w:val="00727945"/>
    <w:rsid w:val="00734A5A"/>
    <w:rsid w:val="0075067F"/>
    <w:rsid w:val="00752977"/>
    <w:rsid w:val="0075534C"/>
    <w:rsid w:val="0076056B"/>
    <w:rsid w:val="00765C56"/>
    <w:rsid w:val="00772568"/>
    <w:rsid w:val="007765C4"/>
    <w:rsid w:val="00784062"/>
    <w:rsid w:val="007907B4"/>
    <w:rsid w:val="007927EB"/>
    <w:rsid w:val="00797890"/>
    <w:rsid w:val="007A7DE1"/>
    <w:rsid w:val="007B1C63"/>
    <w:rsid w:val="007B5EBD"/>
    <w:rsid w:val="007C19B2"/>
    <w:rsid w:val="007C2680"/>
    <w:rsid w:val="007C475C"/>
    <w:rsid w:val="007C7B5C"/>
    <w:rsid w:val="007D0F42"/>
    <w:rsid w:val="007D217B"/>
    <w:rsid w:val="007D266C"/>
    <w:rsid w:val="007D4125"/>
    <w:rsid w:val="007D6494"/>
    <w:rsid w:val="007E1E85"/>
    <w:rsid w:val="007E6B3B"/>
    <w:rsid w:val="007F3F21"/>
    <w:rsid w:val="007F5FCA"/>
    <w:rsid w:val="00806CF1"/>
    <w:rsid w:val="008102E5"/>
    <w:rsid w:val="00814408"/>
    <w:rsid w:val="00814D97"/>
    <w:rsid w:val="00815D91"/>
    <w:rsid w:val="00824A5B"/>
    <w:rsid w:val="0082566A"/>
    <w:rsid w:val="008274A8"/>
    <w:rsid w:val="00833D90"/>
    <w:rsid w:val="00836212"/>
    <w:rsid w:val="00836304"/>
    <w:rsid w:val="008477CE"/>
    <w:rsid w:val="00853982"/>
    <w:rsid w:val="00870D77"/>
    <w:rsid w:val="00872D2A"/>
    <w:rsid w:val="00873B16"/>
    <w:rsid w:val="00874383"/>
    <w:rsid w:val="00880E1E"/>
    <w:rsid w:val="00881AE8"/>
    <w:rsid w:val="0089318A"/>
    <w:rsid w:val="00895C63"/>
    <w:rsid w:val="008C1A64"/>
    <w:rsid w:val="008C1C07"/>
    <w:rsid w:val="008C211E"/>
    <w:rsid w:val="008D5E5F"/>
    <w:rsid w:val="008E047B"/>
    <w:rsid w:val="008E04B5"/>
    <w:rsid w:val="008E4BD7"/>
    <w:rsid w:val="008E75F8"/>
    <w:rsid w:val="008F2D1A"/>
    <w:rsid w:val="008F3C62"/>
    <w:rsid w:val="009069F8"/>
    <w:rsid w:val="00907BDB"/>
    <w:rsid w:val="00920F26"/>
    <w:rsid w:val="00924E5C"/>
    <w:rsid w:val="009267D7"/>
    <w:rsid w:val="009408E4"/>
    <w:rsid w:val="00942686"/>
    <w:rsid w:val="00945672"/>
    <w:rsid w:val="00946CDE"/>
    <w:rsid w:val="00951883"/>
    <w:rsid w:val="00954395"/>
    <w:rsid w:val="009567BF"/>
    <w:rsid w:val="00960E71"/>
    <w:rsid w:val="00965051"/>
    <w:rsid w:val="00973007"/>
    <w:rsid w:val="00973184"/>
    <w:rsid w:val="009770BF"/>
    <w:rsid w:val="009811C1"/>
    <w:rsid w:val="00981D5A"/>
    <w:rsid w:val="00984465"/>
    <w:rsid w:val="00986222"/>
    <w:rsid w:val="00986679"/>
    <w:rsid w:val="0098671D"/>
    <w:rsid w:val="00990DEE"/>
    <w:rsid w:val="0099334B"/>
    <w:rsid w:val="00994125"/>
    <w:rsid w:val="00997597"/>
    <w:rsid w:val="009A24D9"/>
    <w:rsid w:val="009A318C"/>
    <w:rsid w:val="009B485E"/>
    <w:rsid w:val="009B4D91"/>
    <w:rsid w:val="009B5E99"/>
    <w:rsid w:val="009B7B9C"/>
    <w:rsid w:val="009C07F1"/>
    <w:rsid w:val="009C14EE"/>
    <w:rsid w:val="009D3CC8"/>
    <w:rsid w:val="009D46C6"/>
    <w:rsid w:val="009E0C3B"/>
    <w:rsid w:val="009E2C26"/>
    <w:rsid w:val="009E5BF7"/>
    <w:rsid w:val="009F202C"/>
    <w:rsid w:val="00A0443E"/>
    <w:rsid w:val="00A063A7"/>
    <w:rsid w:val="00A07470"/>
    <w:rsid w:val="00A16324"/>
    <w:rsid w:val="00A16BAD"/>
    <w:rsid w:val="00A2228B"/>
    <w:rsid w:val="00A253FD"/>
    <w:rsid w:val="00A51E4C"/>
    <w:rsid w:val="00A533CF"/>
    <w:rsid w:val="00A615E4"/>
    <w:rsid w:val="00A6193A"/>
    <w:rsid w:val="00A65DB4"/>
    <w:rsid w:val="00A67503"/>
    <w:rsid w:val="00A755E7"/>
    <w:rsid w:val="00A75642"/>
    <w:rsid w:val="00A81001"/>
    <w:rsid w:val="00A85259"/>
    <w:rsid w:val="00A91104"/>
    <w:rsid w:val="00A91843"/>
    <w:rsid w:val="00A96643"/>
    <w:rsid w:val="00A96FD6"/>
    <w:rsid w:val="00AA212E"/>
    <w:rsid w:val="00AA21C0"/>
    <w:rsid w:val="00AA7ADA"/>
    <w:rsid w:val="00AD048D"/>
    <w:rsid w:val="00AD1FBD"/>
    <w:rsid w:val="00AD2055"/>
    <w:rsid w:val="00AD4449"/>
    <w:rsid w:val="00AD71C0"/>
    <w:rsid w:val="00AE2B14"/>
    <w:rsid w:val="00AE6360"/>
    <w:rsid w:val="00AF52B8"/>
    <w:rsid w:val="00B01EB2"/>
    <w:rsid w:val="00B063D5"/>
    <w:rsid w:val="00B11D46"/>
    <w:rsid w:val="00B15CA7"/>
    <w:rsid w:val="00B17CF9"/>
    <w:rsid w:val="00B22E40"/>
    <w:rsid w:val="00B33535"/>
    <w:rsid w:val="00B33750"/>
    <w:rsid w:val="00B34133"/>
    <w:rsid w:val="00B3790C"/>
    <w:rsid w:val="00B37ACF"/>
    <w:rsid w:val="00B414A9"/>
    <w:rsid w:val="00B41E19"/>
    <w:rsid w:val="00B4405E"/>
    <w:rsid w:val="00B51391"/>
    <w:rsid w:val="00B61CD5"/>
    <w:rsid w:val="00B6342C"/>
    <w:rsid w:val="00B66295"/>
    <w:rsid w:val="00B73058"/>
    <w:rsid w:val="00B7319F"/>
    <w:rsid w:val="00B74150"/>
    <w:rsid w:val="00B772D6"/>
    <w:rsid w:val="00B8094F"/>
    <w:rsid w:val="00B83BF0"/>
    <w:rsid w:val="00B9199E"/>
    <w:rsid w:val="00B946C2"/>
    <w:rsid w:val="00BA095C"/>
    <w:rsid w:val="00BA4B0C"/>
    <w:rsid w:val="00BA4BFF"/>
    <w:rsid w:val="00BA6BA8"/>
    <w:rsid w:val="00BB3BDD"/>
    <w:rsid w:val="00BD1766"/>
    <w:rsid w:val="00BD631B"/>
    <w:rsid w:val="00BD65E8"/>
    <w:rsid w:val="00BD78A6"/>
    <w:rsid w:val="00BE6218"/>
    <w:rsid w:val="00BF738B"/>
    <w:rsid w:val="00C0726B"/>
    <w:rsid w:val="00C1175F"/>
    <w:rsid w:val="00C12673"/>
    <w:rsid w:val="00C162EF"/>
    <w:rsid w:val="00C16678"/>
    <w:rsid w:val="00C238F6"/>
    <w:rsid w:val="00C239BC"/>
    <w:rsid w:val="00C26D35"/>
    <w:rsid w:val="00C305C4"/>
    <w:rsid w:val="00C330D1"/>
    <w:rsid w:val="00C3473E"/>
    <w:rsid w:val="00C371D6"/>
    <w:rsid w:val="00C44A20"/>
    <w:rsid w:val="00C47D45"/>
    <w:rsid w:val="00C578BD"/>
    <w:rsid w:val="00C602B6"/>
    <w:rsid w:val="00C6038D"/>
    <w:rsid w:val="00C61AFA"/>
    <w:rsid w:val="00C63774"/>
    <w:rsid w:val="00C74A30"/>
    <w:rsid w:val="00C75B5E"/>
    <w:rsid w:val="00C75DD8"/>
    <w:rsid w:val="00C870A1"/>
    <w:rsid w:val="00C87209"/>
    <w:rsid w:val="00C90F87"/>
    <w:rsid w:val="00C93013"/>
    <w:rsid w:val="00C9381A"/>
    <w:rsid w:val="00CA1898"/>
    <w:rsid w:val="00CA5DE2"/>
    <w:rsid w:val="00CA6BF5"/>
    <w:rsid w:val="00CB0D6B"/>
    <w:rsid w:val="00CB2F04"/>
    <w:rsid w:val="00CB6640"/>
    <w:rsid w:val="00CC149F"/>
    <w:rsid w:val="00CE63F3"/>
    <w:rsid w:val="00CF029A"/>
    <w:rsid w:val="00CF0B1E"/>
    <w:rsid w:val="00CF4394"/>
    <w:rsid w:val="00CF6072"/>
    <w:rsid w:val="00CF7C09"/>
    <w:rsid w:val="00D01B8A"/>
    <w:rsid w:val="00D03919"/>
    <w:rsid w:val="00D070B6"/>
    <w:rsid w:val="00D0747C"/>
    <w:rsid w:val="00D13D46"/>
    <w:rsid w:val="00D14799"/>
    <w:rsid w:val="00D15701"/>
    <w:rsid w:val="00D21801"/>
    <w:rsid w:val="00D21868"/>
    <w:rsid w:val="00D221B4"/>
    <w:rsid w:val="00D22E1D"/>
    <w:rsid w:val="00D33E31"/>
    <w:rsid w:val="00D356BE"/>
    <w:rsid w:val="00D37F3C"/>
    <w:rsid w:val="00D46C62"/>
    <w:rsid w:val="00D509D7"/>
    <w:rsid w:val="00D50FAF"/>
    <w:rsid w:val="00D554F6"/>
    <w:rsid w:val="00D60D5F"/>
    <w:rsid w:val="00D61960"/>
    <w:rsid w:val="00D675CE"/>
    <w:rsid w:val="00D84AD5"/>
    <w:rsid w:val="00D90D33"/>
    <w:rsid w:val="00D93A14"/>
    <w:rsid w:val="00D95FBE"/>
    <w:rsid w:val="00D96B99"/>
    <w:rsid w:val="00DA0CBB"/>
    <w:rsid w:val="00DA74E4"/>
    <w:rsid w:val="00DA768A"/>
    <w:rsid w:val="00DB26FF"/>
    <w:rsid w:val="00DC3F9A"/>
    <w:rsid w:val="00DC4017"/>
    <w:rsid w:val="00DC4DC8"/>
    <w:rsid w:val="00DC627C"/>
    <w:rsid w:val="00DE498B"/>
    <w:rsid w:val="00DE4ABE"/>
    <w:rsid w:val="00DE56D6"/>
    <w:rsid w:val="00DE65D9"/>
    <w:rsid w:val="00DF1321"/>
    <w:rsid w:val="00E05E83"/>
    <w:rsid w:val="00E103C0"/>
    <w:rsid w:val="00E12477"/>
    <w:rsid w:val="00E1342D"/>
    <w:rsid w:val="00E136AD"/>
    <w:rsid w:val="00E168D5"/>
    <w:rsid w:val="00E17930"/>
    <w:rsid w:val="00E22E06"/>
    <w:rsid w:val="00E24287"/>
    <w:rsid w:val="00E270C6"/>
    <w:rsid w:val="00E33C57"/>
    <w:rsid w:val="00E35283"/>
    <w:rsid w:val="00E4064A"/>
    <w:rsid w:val="00E44191"/>
    <w:rsid w:val="00E475F4"/>
    <w:rsid w:val="00E5003D"/>
    <w:rsid w:val="00E5531D"/>
    <w:rsid w:val="00E568EF"/>
    <w:rsid w:val="00E57A33"/>
    <w:rsid w:val="00E71149"/>
    <w:rsid w:val="00E718D4"/>
    <w:rsid w:val="00E76CCC"/>
    <w:rsid w:val="00E76DC1"/>
    <w:rsid w:val="00E83157"/>
    <w:rsid w:val="00E92EDF"/>
    <w:rsid w:val="00E95274"/>
    <w:rsid w:val="00E95BA3"/>
    <w:rsid w:val="00EA6FAD"/>
    <w:rsid w:val="00EA7B25"/>
    <w:rsid w:val="00EB1026"/>
    <w:rsid w:val="00EB1CB8"/>
    <w:rsid w:val="00EB2F7A"/>
    <w:rsid w:val="00EB5E85"/>
    <w:rsid w:val="00EC03D2"/>
    <w:rsid w:val="00EC05B4"/>
    <w:rsid w:val="00EC364B"/>
    <w:rsid w:val="00EC52D7"/>
    <w:rsid w:val="00EC7EE7"/>
    <w:rsid w:val="00ED0A27"/>
    <w:rsid w:val="00ED50FF"/>
    <w:rsid w:val="00EE3BD2"/>
    <w:rsid w:val="00EF5804"/>
    <w:rsid w:val="00F0411C"/>
    <w:rsid w:val="00F05B7F"/>
    <w:rsid w:val="00F11A4B"/>
    <w:rsid w:val="00F14560"/>
    <w:rsid w:val="00F16ACC"/>
    <w:rsid w:val="00F2136A"/>
    <w:rsid w:val="00F25B2F"/>
    <w:rsid w:val="00F31637"/>
    <w:rsid w:val="00F3205A"/>
    <w:rsid w:val="00F41ABA"/>
    <w:rsid w:val="00F44888"/>
    <w:rsid w:val="00F4514D"/>
    <w:rsid w:val="00F53898"/>
    <w:rsid w:val="00F543B5"/>
    <w:rsid w:val="00F54B19"/>
    <w:rsid w:val="00F72E90"/>
    <w:rsid w:val="00F742E7"/>
    <w:rsid w:val="00F752A3"/>
    <w:rsid w:val="00F8302C"/>
    <w:rsid w:val="00F90CC2"/>
    <w:rsid w:val="00F958B0"/>
    <w:rsid w:val="00FA6B32"/>
    <w:rsid w:val="00FA76F4"/>
    <w:rsid w:val="00FB1384"/>
    <w:rsid w:val="00FB4320"/>
    <w:rsid w:val="00FB4A4E"/>
    <w:rsid w:val="00FB71D5"/>
    <w:rsid w:val="00FB785F"/>
    <w:rsid w:val="00FC09CF"/>
    <w:rsid w:val="00FC2678"/>
    <w:rsid w:val="00FC59B0"/>
    <w:rsid w:val="00FC6226"/>
    <w:rsid w:val="00FD2B76"/>
    <w:rsid w:val="00FD6A34"/>
    <w:rsid w:val="00FE12EE"/>
    <w:rsid w:val="00FE4E98"/>
    <w:rsid w:val="00FF1B06"/>
    <w:rsid w:val="00FF2C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1D0A3E"/>
  <w15:docId w15:val="{A44F0D3E-CEFA-4185-A4F9-A09B5D911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4D97"/>
    <w:rPr>
      <w:sz w:val="24"/>
      <w:szCs w:val="24"/>
      <w:lang w:val="en-US" w:eastAsia="zh-CN"/>
    </w:rPr>
  </w:style>
  <w:style w:type="paragraph" w:styleId="Heading3">
    <w:name w:val="heading 3"/>
    <w:basedOn w:val="Normal"/>
    <w:link w:val="Heading3Char"/>
    <w:uiPriority w:val="9"/>
    <w:qFormat/>
    <w:rsid w:val="002F41CB"/>
    <w:pPr>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D3D6C"/>
    <w:pPr>
      <w:tabs>
        <w:tab w:val="center" w:pos="4320"/>
        <w:tab w:val="right" w:pos="8640"/>
      </w:tabs>
    </w:pPr>
  </w:style>
  <w:style w:type="character" w:styleId="Hyperlink">
    <w:name w:val="Hyperlink"/>
    <w:basedOn w:val="DefaultParagraphFont"/>
    <w:uiPriority w:val="99"/>
    <w:rsid w:val="002D3D6C"/>
    <w:rPr>
      <w:color w:val="0000FF"/>
      <w:u w:val="single"/>
    </w:rPr>
  </w:style>
  <w:style w:type="table" w:styleId="TableGrid">
    <w:name w:val="Table Grid"/>
    <w:basedOn w:val="TableNormal"/>
    <w:rsid w:val="002D3D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2D3D6C"/>
    <w:pPr>
      <w:tabs>
        <w:tab w:val="center" w:pos="4320"/>
        <w:tab w:val="right" w:pos="8640"/>
      </w:tabs>
    </w:pPr>
  </w:style>
  <w:style w:type="paragraph" w:styleId="Date">
    <w:name w:val="Date"/>
    <w:basedOn w:val="Normal"/>
    <w:next w:val="Normal"/>
    <w:link w:val="DateChar"/>
    <w:rsid w:val="00366FF9"/>
    <w:pPr>
      <w:ind w:leftChars="2500" w:left="100"/>
    </w:pPr>
  </w:style>
  <w:style w:type="paragraph" w:customStyle="1" w:styleId="BGNormal">
    <w:name w:val="BGNormal"/>
    <w:basedOn w:val="Normal"/>
    <w:rsid w:val="00440494"/>
    <w:pPr>
      <w:widowControl w:val="0"/>
      <w:spacing w:line="360" w:lineRule="auto"/>
      <w:jc w:val="both"/>
    </w:pPr>
    <w:rPr>
      <w:rFonts w:ascii="Arial" w:hAnsi="Arial"/>
      <w:sz w:val="22"/>
      <w:szCs w:val="22"/>
      <w:lang w:val="en-ZA" w:eastAsia="en-US"/>
    </w:rPr>
  </w:style>
  <w:style w:type="character" w:styleId="CommentReference">
    <w:name w:val="annotation reference"/>
    <w:basedOn w:val="DefaultParagraphFont"/>
    <w:uiPriority w:val="99"/>
    <w:rsid w:val="00440494"/>
    <w:rPr>
      <w:sz w:val="21"/>
      <w:szCs w:val="21"/>
    </w:rPr>
  </w:style>
  <w:style w:type="paragraph" w:styleId="CommentText">
    <w:name w:val="annotation text"/>
    <w:basedOn w:val="Normal"/>
    <w:link w:val="CommentTextChar"/>
    <w:uiPriority w:val="99"/>
    <w:rsid w:val="00440494"/>
    <w:pPr>
      <w:widowControl w:val="0"/>
    </w:pPr>
    <w:rPr>
      <w:kern w:val="2"/>
      <w:sz w:val="21"/>
    </w:rPr>
  </w:style>
  <w:style w:type="character" w:customStyle="1" w:styleId="CommentTextChar">
    <w:name w:val="Comment Text Char"/>
    <w:basedOn w:val="DefaultParagraphFont"/>
    <w:link w:val="CommentText"/>
    <w:uiPriority w:val="99"/>
    <w:rsid w:val="00440494"/>
    <w:rPr>
      <w:kern w:val="2"/>
      <w:sz w:val="21"/>
      <w:szCs w:val="24"/>
    </w:rPr>
  </w:style>
  <w:style w:type="paragraph" w:styleId="BalloonText">
    <w:name w:val="Balloon Text"/>
    <w:basedOn w:val="Normal"/>
    <w:link w:val="BalloonTextChar"/>
    <w:rsid w:val="00440494"/>
    <w:rPr>
      <w:rFonts w:ascii="Tahoma" w:hAnsi="Tahoma" w:cs="Tahoma"/>
      <w:sz w:val="16"/>
      <w:szCs w:val="16"/>
    </w:rPr>
  </w:style>
  <w:style w:type="character" w:customStyle="1" w:styleId="BalloonTextChar">
    <w:name w:val="Balloon Text Char"/>
    <w:basedOn w:val="DefaultParagraphFont"/>
    <w:link w:val="BalloonText"/>
    <w:rsid w:val="00440494"/>
    <w:rPr>
      <w:rFonts w:ascii="Tahoma" w:hAnsi="Tahoma" w:cs="Tahoma"/>
      <w:sz w:val="16"/>
      <w:szCs w:val="16"/>
    </w:rPr>
  </w:style>
  <w:style w:type="paragraph" w:styleId="CommentSubject">
    <w:name w:val="annotation subject"/>
    <w:basedOn w:val="CommentText"/>
    <w:next w:val="CommentText"/>
    <w:link w:val="CommentSubjectChar"/>
    <w:rsid w:val="00CF7C09"/>
    <w:pPr>
      <w:widowControl/>
    </w:pPr>
    <w:rPr>
      <w:b/>
      <w:bCs/>
      <w:kern w:val="0"/>
      <w:sz w:val="20"/>
      <w:szCs w:val="20"/>
    </w:rPr>
  </w:style>
  <w:style w:type="character" w:customStyle="1" w:styleId="CommentSubjectChar">
    <w:name w:val="Comment Subject Char"/>
    <w:basedOn w:val="CommentTextChar"/>
    <w:link w:val="CommentSubject"/>
    <w:rsid w:val="00CF7C09"/>
    <w:rPr>
      <w:b/>
      <w:bCs/>
      <w:kern w:val="2"/>
      <w:sz w:val="21"/>
      <w:szCs w:val="24"/>
    </w:rPr>
  </w:style>
  <w:style w:type="character" w:customStyle="1" w:styleId="DateChar">
    <w:name w:val="Date Char"/>
    <w:basedOn w:val="DefaultParagraphFont"/>
    <w:link w:val="Date"/>
    <w:rsid w:val="00680FC6"/>
    <w:rPr>
      <w:sz w:val="24"/>
      <w:szCs w:val="24"/>
      <w:lang w:val="en-US" w:eastAsia="zh-CN"/>
    </w:rPr>
  </w:style>
  <w:style w:type="paragraph" w:styleId="ListParagraph">
    <w:name w:val="List Paragraph"/>
    <w:aliases w:val="numbered,Paragraphe de liste1,Bulletr List Paragraph,列出段落1,Bullet List,FooterText,List Paragraph1,List Paragraph21,List Paragraph11,Parágrafo da Lista1,Párrafo de lista1,リスト段落1,Listeafsnit1,Listenabsatz,リスト段落,Plan,Fo,ÁÐ³ö¶ÎÂä1,Bullets,列表1"/>
    <w:basedOn w:val="Normal"/>
    <w:link w:val="ListParagraphChar"/>
    <w:uiPriority w:val="34"/>
    <w:qFormat/>
    <w:rsid w:val="009D46C6"/>
    <w:pPr>
      <w:ind w:firstLineChars="200" w:firstLine="420"/>
    </w:pPr>
    <w:rPr>
      <w:lang w:eastAsia="en-US"/>
    </w:rPr>
  </w:style>
  <w:style w:type="character" w:customStyle="1" w:styleId="y0nh2b">
    <w:name w:val="y0nh2b"/>
    <w:basedOn w:val="DefaultParagraphFont"/>
    <w:rsid w:val="00403A6F"/>
  </w:style>
  <w:style w:type="character" w:customStyle="1" w:styleId="HeaderChar">
    <w:name w:val="Header Char"/>
    <w:basedOn w:val="DefaultParagraphFont"/>
    <w:link w:val="Header"/>
    <w:rsid w:val="00590981"/>
    <w:rPr>
      <w:sz w:val="24"/>
      <w:szCs w:val="24"/>
      <w:lang w:val="en-US" w:eastAsia="zh-CN"/>
    </w:rPr>
  </w:style>
  <w:style w:type="table" w:customStyle="1" w:styleId="TableGrid1">
    <w:name w:val="Table Grid1"/>
    <w:basedOn w:val="TableNormal"/>
    <w:next w:val="TableGrid"/>
    <w:uiPriority w:val="39"/>
    <w:rsid w:val="00833D90"/>
    <w:rPr>
      <w:rFonts w:ascii="Calibri" w:hAnsi="Calibri"/>
      <w:kern w:val="2"/>
      <w:sz w:val="21"/>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833D90"/>
    <w:rPr>
      <w:sz w:val="24"/>
      <w:szCs w:val="24"/>
      <w:lang w:val="en-US" w:eastAsia="zh-CN"/>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unhideWhenUsed/>
    <w:qFormat/>
    <w:rsid w:val="00EE3BD2"/>
    <w:pPr>
      <w:jc w:val="both"/>
    </w:pPr>
    <w:rPr>
      <w:rFonts w:ascii="Arial" w:hAnsi="Arial"/>
      <w:color w:val="000000"/>
      <w:sz w:val="20"/>
      <w:szCs w:val="20"/>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qFormat/>
    <w:rsid w:val="00EE3BD2"/>
    <w:rPr>
      <w:rFonts w:ascii="Arial" w:hAnsi="Arial"/>
      <w:color w:val="000000"/>
      <w:lang w:val="en-US" w:eastAsia="zh-CN"/>
    </w:rPr>
  </w:style>
  <w:style w:type="character" w:styleId="FootnoteReference">
    <w:name w:val="footnote reference"/>
    <w:aliases w:val="Appel note de bas de p,Footnote Reference/,Footnote Reference/ + Text 1"/>
    <w:basedOn w:val="DefaultParagraphFont"/>
    <w:unhideWhenUsed/>
    <w:rsid w:val="00EE3BD2"/>
    <w:rPr>
      <w:vertAlign w:val="superscript"/>
    </w:rPr>
  </w:style>
  <w:style w:type="character" w:customStyle="1" w:styleId="ListParagraphChar">
    <w:name w:val="List Paragraph Char"/>
    <w:aliases w:val="numbered Char,Paragraphe de liste1 Char,Bulletr List Paragraph Char,列出段落1 Char,Bullet List Char,FooterText Char,List Paragraph1 Char,List Paragraph21 Char,List Paragraph11 Char,Parágrafo da Lista1 Char,Párrafo de lista1 Char,Fo Char"/>
    <w:link w:val="ListParagraph"/>
    <w:uiPriority w:val="34"/>
    <w:rsid w:val="00EE3BD2"/>
    <w:rPr>
      <w:sz w:val="24"/>
      <w:szCs w:val="24"/>
      <w:lang w:val="en-US" w:eastAsia="en-US"/>
    </w:rPr>
  </w:style>
  <w:style w:type="paragraph" w:styleId="BodyText2">
    <w:name w:val="Body Text 2"/>
    <w:basedOn w:val="Normal"/>
    <w:link w:val="BodyText2Char"/>
    <w:rsid w:val="002335ED"/>
    <w:pPr>
      <w:spacing w:before="120" w:after="120" w:line="240" w:lineRule="atLeast"/>
    </w:pPr>
    <w:rPr>
      <w:rFonts w:eastAsia="Times New Roman"/>
      <w:snapToGrid w:val="0"/>
      <w:color w:val="000000"/>
      <w:sz w:val="22"/>
      <w:szCs w:val="20"/>
      <w:lang w:eastAsia="en-US"/>
    </w:rPr>
  </w:style>
  <w:style w:type="character" w:customStyle="1" w:styleId="BodyText2Char">
    <w:name w:val="Body Text 2 Char"/>
    <w:basedOn w:val="DefaultParagraphFont"/>
    <w:link w:val="BodyText2"/>
    <w:rsid w:val="002335ED"/>
    <w:rPr>
      <w:rFonts w:eastAsia="Times New Roman"/>
      <w:snapToGrid w:val="0"/>
      <w:color w:val="000000"/>
      <w:sz w:val="22"/>
      <w:lang w:val="en-US" w:eastAsia="en-US"/>
    </w:rPr>
  </w:style>
  <w:style w:type="paragraph" w:customStyle="1" w:styleId="Default">
    <w:name w:val="Default"/>
    <w:rsid w:val="00176B00"/>
    <w:pPr>
      <w:widowControl w:val="0"/>
      <w:autoSpaceDE w:val="0"/>
      <w:autoSpaceDN w:val="0"/>
      <w:adjustRightInd w:val="0"/>
    </w:pPr>
    <w:rPr>
      <w:rFonts w:ascii="Arial" w:hAnsi="Arial" w:cs="Arial"/>
      <w:color w:val="000000"/>
      <w:sz w:val="24"/>
      <w:szCs w:val="24"/>
      <w:lang w:val="en-US"/>
    </w:rPr>
  </w:style>
  <w:style w:type="paragraph" w:styleId="NormalWeb">
    <w:name w:val="Normal (Web)"/>
    <w:basedOn w:val="Normal"/>
    <w:uiPriority w:val="99"/>
    <w:unhideWhenUsed/>
    <w:rsid w:val="00220A4C"/>
    <w:pPr>
      <w:spacing w:before="100" w:beforeAutospacing="1" w:after="100" w:afterAutospacing="1"/>
    </w:pPr>
    <w:rPr>
      <w:rFonts w:ascii="SimSun" w:hAnsi="SimSun" w:cs="SimSun"/>
    </w:rPr>
  </w:style>
  <w:style w:type="character" w:styleId="UnresolvedMention">
    <w:name w:val="Unresolved Mention"/>
    <w:basedOn w:val="DefaultParagraphFont"/>
    <w:uiPriority w:val="99"/>
    <w:semiHidden/>
    <w:unhideWhenUsed/>
    <w:rsid w:val="002B08CE"/>
    <w:rPr>
      <w:color w:val="605E5C"/>
      <w:shd w:val="clear" w:color="auto" w:fill="E1DFDD"/>
    </w:rPr>
  </w:style>
  <w:style w:type="character" w:customStyle="1" w:styleId="Heading3Char">
    <w:name w:val="Heading 3 Char"/>
    <w:basedOn w:val="DefaultParagraphFont"/>
    <w:link w:val="Heading3"/>
    <w:uiPriority w:val="9"/>
    <w:rsid w:val="002F41CB"/>
    <w:rPr>
      <w:rFonts w:eastAsia="Times New Roman"/>
      <w:b/>
      <w:bCs/>
      <w:sz w:val="27"/>
      <w:szCs w:val="27"/>
      <w:lang w:val="en-US" w:eastAsia="zh-CN"/>
    </w:rPr>
  </w:style>
  <w:style w:type="character" w:styleId="Strong">
    <w:name w:val="Strong"/>
    <w:basedOn w:val="DefaultParagraphFont"/>
    <w:uiPriority w:val="22"/>
    <w:qFormat/>
    <w:rsid w:val="002F41CB"/>
    <w:rPr>
      <w:b/>
      <w:bCs/>
    </w:rPr>
  </w:style>
  <w:style w:type="character" w:customStyle="1" w:styleId="mx-05">
    <w:name w:val="mx-0.5"/>
    <w:basedOn w:val="DefaultParagraphFont"/>
    <w:rsid w:val="002F41CB"/>
  </w:style>
  <w:style w:type="character" w:styleId="FollowedHyperlink">
    <w:name w:val="FollowedHyperlink"/>
    <w:basedOn w:val="DefaultParagraphFont"/>
    <w:semiHidden/>
    <w:unhideWhenUsed/>
    <w:rsid w:val="00B414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2615">
      <w:bodyDiv w:val="1"/>
      <w:marLeft w:val="0"/>
      <w:marRight w:val="0"/>
      <w:marTop w:val="0"/>
      <w:marBottom w:val="0"/>
      <w:divBdr>
        <w:top w:val="none" w:sz="0" w:space="0" w:color="auto"/>
        <w:left w:val="none" w:sz="0" w:space="0" w:color="auto"/>
        <w:bottom w:val="none" w:sz="0" w:space="0" w:color="auto"/>
        <w:right w:val="none" w:sz="0" w:space="0" w:color="auto"/>
      </w:divBdr>
    </w:div>
    <w:div w:id="30571232">
      <w:bodyDiv w:val="1"/>
      <w:marLeft w:val="0"/>
      <w:marRight w:val="0"/>
      <w:marTop w:val="0"/>
      <w:marBottom w:val="0"/>
      <w:divBdr>
        <w:top w:val="none" w:sz="0" w:space="0" w:color="auto"/>
        <w:left w:val="none" w:sz="0" w:space="0" w:color="auto"/>
        <w:bottom w:val="none" w:sz="0" w:space="0" w:color="auto"/>
        <w:right w:val="none" w:sz="0" w:space="0" w:color="auto"/>
      </w:divBdr>
      <w:divsChild>
        <w:div w:id="823356960">
          <w:marLeft w:val="446"/>
          <w:marRight w:val="0"/>
          <w:marTop w:val="0"/>
          <w:marBottom w:val="0"/>
          <w:divBdr>
            <w:top w:val="none" w:sz="0" w:space="0" w:color="auto"/>
            <w:left w:val="none" w:sz="0" w:space="0" w:color="auto"/>
            <w:bottom w:val="none" w:sz="0" w:space="0" w:color="auto"/>
            <w:right w:val="none" w:sz="0" w:space="0" w:color="auto"/>
          </w:divBdr>
        </w:div>
        <w:div w:id="203324932">
          <w:marLeft w:val="446"/>
          <w:marRight w:val="0"/>
          <w:marTop w:val="0"/>
          <w:marBottom w:val="0"/>
          <w:divBdr>
            <w:top w:val="none" w:sz="0" w:space="0" w:color="auto"/>
            <w:left w:val="none" w:sz="0" w:space="0" w:color="auto"/>
            <w:bottom w:val="none" w:sz="0" w:space="0" w:color="auto"/>
            <w:right w:val="none" w:sz="0" w:space="0" w:color="auto"/>
          </w:divBdr>
        </w:div>
        <w:div w:id="1295987352">
          <w:marLeft w:val="446"/>
          <w:marRight w:val="0"/>
          <w:marTop w:val="0"/>
          <w:marBottom w:val="0"/>
          <w:divBdr>
            <w:top w:val="none" w:sz="0" w:space="0" w:color="auto"/>
            <w:left w:val="none" w:sz="0" w:space="0" w:color="auto"/>
            <w:bottom w:val="none" w:sz="0" w:space="0" w:color="auto"/>
            <w:right w:val="none" w:sz="0" w:space="0" w:color="auto"/>
          </w:divBdr>
        </w:div>
        <w:div w:id="1536113040">
          <w:marLeft w:val="446"/>
          <w:marRight w:val="0"/>
          <w:marTop w:val="0"/>
          <w:marBottom w:val="0"/>
          <w:divBdr>
            <w:top w:val="none" w:sz="0" w:space="0" w:color="auto"/>
            <w:left w:val="none" w:sz="0" w:space="0" w:color="auto"/>
            <w:bottom w:val="none" w:sz="0" w:space="0" w:color="auto"/>
            <w:right w:val="none" w:sz="0" w:space="0" w:color="auto"/>
          </w:divBdr>
        </w:div>
        <w:div w:id="1747261380">
          <w:marLeft w:val="446"/>
          <w:marRight w:val="0"/>
          <w:marTop w:val="0"/>
          <w:marBottom w:val="0"/>
          <w:divBdr>
            <w:top w:val="none" w:sz="0" w:space="0" w:color="auto"/>
            <w:left w:val="none" w:sz="0" w:space="0" w:color="auto"/>
            <w:bottom w:val="none" w:sz="0" w:space="0" w:color="auto"/>
            <w:right w:val="none" w:sz="0" w:space="0" w:color="auto"/>
          </w:divBdr>
        </w:div>
        <w:div w:id="850607058">
          <w:marLeft w:val="446"/>
          <w:marRight w:val="0"/>
          <w:marTop w:val="0"/>
          <w:marBottom w:val="0"/>
          <w:divBdr>
            <w:top w:val="none" w:sz="0" w:space="0" w:color="auto"/>
            <w:left w:val="none" w:sz="0" w:space="0" w:color="auto"/>
            <w:bottom w:val="none" w:sz="0" w:space="0" w:color="auto"/>
            <w:right w:val="none" w:sz="0" w:space="0" w:color="auto"/>
          </w:divBdr>
        </w:div>
        <w:div w:id="246115859">
          <w:marLeft w:val="446"/>
          <w:marRight w:val="0"/>
          <w:marTop w:val="0"/>
          <w:marBottom w:val="0"/>
          <w:divBdr>
            <w:top w:val="none" w:sz="0" w:space="0" w:color="auto"/>
            <w:left w:val="none" w:sz="0" w:space="0" w:color="auto"/>
            <w:bottom w:val="none" w:sz="0" w:space="0" w:color="auto"/>
            <w:right w:val="none" w:sz="0" w:space="0" w:color="auto"/>
          </w:divBdr>
        </w:div>
      </w:divsChild>
    </w:div>
    <w:div w:id="95560942">
      <w:bodyDiv w:val="1"/>
      <w:marLeft w:val="0"/>
      <w:marRight w:val="0"/>
      <w:marTop w:val="0"/>
      <w:marBottom w:val="0"/>
      <w:divBdr>
        <w:top w:val="none" w:sz="0" w:space="0" w:color="auto"/>
        <w:left w:val="none" w:sz="0" w:space="0" w:color="auto"/>
        <w:bottom w:val="none" w:sz="0" w:space="0" w:color="auto"/>
        <w:right w:val="none" w:sz="0" w:space="0" w:color="auto"/>
      </w:divBdr>
      <w:divsChild>
        <w:div w:id="632835334">
          <w:marLeft w:val="446"/>
          <w:marRight w:val="0"/>
          <w:marTop w:val="0"/>
          <w:marBottom w:val="0"/>
          <w:divBdr>
            <w:top w:val="none" w:sz="0" w:space="0" w:color="auto"/>
            <w:left w:val="none" w:sz="0" w:space="0" w:color="auto"/>
            <w:bottom w:val="none" w:sz="0" w:space="0" w:color="auto"/>
            <w:right w:val="none" w:sz="0" w:space="0" w:color="auto"/>
          </w:divBdr>
        </w:div>
      </w:divsChild>
    </w:div>
    <w:div w:id="118767253">
      <w:bodyDiv w:val="1"/>
      <w:marLeft w:val="0"/>
      <w:marRight w:val="0"/>
      <w:marTop w:val="0"/>
      <w:marBottom w:val="0"/>
      <w:divBdr>
        <w:top w:val="none" w:sz="0" w:space="0" w:color="auto"/>
        <w:left w:val="none" w:sz="0" w:space="0" w:color="auto"/>
        <w:bottom w:val="none" w:sz="0" w:space="0" w:color="auto"/>
        <w:right w:val="none" w:sz="0" w:space="0" w:color="auto"/>
      </w:divBdr>
      <w:divsChild>
        <w:div w:id="2062898285">
          <w:marLeft w:val="446"/>
          <w:marRight w:val="0"/>
          <w:marTop w:val="0"/>
          <w:marBottom w:val="0"/>
          <w:divBdr>
            <w:top w:val="none" w:sz="0" w:space="0" w:color="auto"/>
            <w:left w:val="none" w:sz="0" w:space="0" w:color="auto"/>
            <w:bottom w:val="none" w:sz="0" w:space="0" w:color="auto"/>
            <w:right w:val="none" w:sz="0" w:space="0" w:color="auto"/>
          </w:divBdr>
        </w:div>
      </w:divsChild>
    </w:div>
    <w:div w:id="169027147">
      <w:bodyDiv w:val="1"/>
      <w:marLeft w:val="0"/>
      <w:marRight w:val="0"/>
      <w:marTop w:val="0"/>
      <w:marBottom w:val="0"/>
      <w:divBdr>
        <w:top w:val="none" w:sz="0" w:space="0" w:color="auto"/>
        <w:left w:val="none" w:sz="0" w:space="0" w:color="auto"/>
        <w:bottom w:val="none" w:sz="0" w:space="0" w:color="auto"/>
        <w:right w:val="none" w:sz="0" w:space="0" w:color="auto"/>
      </w:divBdr>
    </w:div>
    <w:div w:id="232082654">
      <w:bodyDiv w:val="1"/>
      <w:marLeft w:val="0"/>
      <w:marRight w:val="0"/>
      <w:marTop w:val="0"/>
      <w:marBottom w:val="0"/>
      <w:divBdr>
        <w:top w:val="none" w:sz="0" w:space="0" w:color="auto"/>
        <w:left w:val="none" w:sz="0" w:space="0" w:color="auto"/>
        <w:bottom w:val="none" w:sz="0" w:space="0" w:color="auto"/>
        <w:right w:val="none" w:sz="0" w:space="0" w:color="auto"/>
      </w:divBdr>
    </w:div>
    <w:div w:id="317272561">
      <w:bodyDiv w:val="1"/>
      <w:marLeft w:val="0"/>
      <w:marRight w:val="0"/>
      <w:marTop w:val="0"/>
      <w:marBottom w:val="0"/>
      <w:divBdr>
        <w:top w:val="none" w:sz="0" w:space="0" w:color="auto"/>
        <w:left w:val="none" w:sz="0" w:space="0" w:color="auto"/>
        <w:bottom w:val="none" w:sz="0" w:space="0" w:color="auto"/>
        <w:right w:val="none" w:sz="0" w:space="0" w:color="auto"/>
      </w:divBdr>
      <w:divsChild>
        <w:div w:id="1397390615">
          <w:marLeft w:val="360"/>
          <w:marRight w:val="0"/>
          <w:marTop w:val="200"/>
          <w:marBottom w:val="0"/>
          <w:divBdr>
            <w:top w:val="none" w:sz="0" w:space="0" w:color="auto"/>
            <w:left w:val="none" w:sz="0" w:space="0" w:color="auto"/>
            <w:bottom w:val="none" w:sz="0" w:space="0" w:color="auto"/>
            <w:right w:val="none" w:sz="0" w:space="0" w:color="auto"/>
          </w:divBdr>
        </w:div>
      </w:divsChild>
    </w:div>
    <w:div w:id="329143444">
      <w:bodyDiv w:val="1"/>
      <w:marLeft w:val="0"/>
      <w:marRight w:val="0"/>
      <w:marTop w:val="0"/>
      <w:marBottom w:val="0"/>
      <w:divBdr>
        <w:top w:val="none" w:sz="0" w:space="0" w:color="auto"/>
        <w:left w:val="none" w:sz="0" w:space="0" w:color="auto"/>
        <w:bottom w:val="none" w:sz="0" w:space="0" w:color="auto"/>
        <w:right w:val="none" w:sz="0" w:space="0" w:color="auto"/>
      </w:divBdr>
    </w:div>
    <w:div w:id="348875490">
      <w:bodyDiv w:val="1"/>
      <w:marLeft w:val="0"/>
      <w:marRight w:val="0"/>
      <w:marTop w:val="0"/>
      <w:marBottom w:val="0"/>
      <w:divBdr>
        <w:top w:val="none" w:sz="0" w:space="0" w:color="auto"/>
        <w:left w:val="none" w:sz="0" w:space="0" w:color="auto"/>
        <w:bottom w:val="none" w:sz="0" w:space="0" w:color="auto"/>
        <w:right w:val="none" w:sz="0" w:space="0" w:color="auto"/>
      </w:divBdr>
    </w:div>
    <w:div w:id="367872308">
      <w:bodyDiv w:val="1"/>
      <w:marLeft w:val="0"/>
      <w:marRight w:val="0"/>
      <w:marTop w:val="0"/>
      <w:marBottom w:val="0"/>
      <w:divBdr>
        <w:top w:val="none" w:sz="0" w:space="0" w:color="auto"/>
        <w:left w:val="none" w:sz="0" w:space="0" w:color="auto"/>
        <w:bottom w:val="none" w:sz="0" w:space="0" w:color="auto"/>
        <w:right w:val="none" w:sz="0" w:space="0" w:color="auto"/>
      </w:divBdr>
    </w:div>
    <w:div w:id="562109599">
      <w:bodyDiv w:val="1"/>
      <w:marLeft w:val="0"/>
      <w:marRight w:val="0"/>
      <w:marTop w:val="0"/>
      <w:marBottom w:val="0"/>
      <w:divBdr>
        <w:top w:val="none" w:sz="0" w:space="0" w:color="auto"/>
        <w:left w:val="none" w:sz="0" w:space="0" w:color="auto"/>
        <w:bottom w:val="none" w:sz="0" w:space="0" w:color="auto"/>
        <w:right w:val="none" w:sz="0" w:space="0" w:color="auto"/>
      </w:divBdr>
    </w:div>
    <w:div w:id="1059985490">
      <w:bodyDiv w:val="1"/>
      <w:marLeft w:val="0"/>
      <w:marRight w:val="0"/>
      <w:marTop w:val="0"/>
      <w:marBottom w:val="0"/>
      <w:divBdr>
        <w:top w:val="none" w:sz="0" w:space="0" w:color="auto"/>
        <w:left w:val="none" w:sz="0" w:space="0" w:color="auto"/>
        <w:bottom w:val="none" w:sz="0" w:space="0" w:color="auto"/>
        <w:right w:val="none" w:sz="0" w:space="0" w:color="auto"/>
      </w:divBdr>
    </w:div>
    <w:div w:id="1215195347">
      <w:bodyDiv w:val="1"/>
      <w:marLeft w:val="0"/>
      <w:marRight w:val="0"/>
      <w:marTop w:val="0"/>
      <w:marBottom w:val="0"/>
      <w:divBdr>
        <w:top w:val="none" w:sz="0" w:space="0" w:color="auto"/>
        <w:left w:val="none" w:sz="0" w:space="0" w:color="auto"/>
        <w:bottom w:val="none" w:sz="0" w:space="0" w:color="auto"/>
        <w:right w:val="none" w:sz="0" w:space="0" w:color="auto"/>
      </w:divBdr>
      <w:divsChild>
        <w:div w:id="1128468937">
          <w:marLeft w:val="360"/>
          <w:marRight w:val="0"/>
          <w:marTop w:val="200"/>
          <w:marBottom w:val="0"/>
          <w:divBdr>
            <w:top w:val="none" w:sz="0" w:space="0" w:color="auto"/>
            <w:left w:val="none" w:sz="0" w:space="0" w:color="auto"/>
            <w:bottom w:val="none" w:sz="0" w:space="0" w:color="auto"/>
            <w:right w:val="none" w:sz="0" w:space="0" w:color="auto"/>
          </w:divBdr>
        </w:div>
      </w:divsChild>
    </w:div>
    <w:div w:id="1261063699">
      <w:bodyDiv w:val="1"/>
      <w:marLeft w:val="0"/>
      <w:marRight w:val="0"/>
      <w:marTop w:val="0"/>
      <w:marBottom w:val="0"/>
      <w:divBdr>
        <w:top w:val="none" w:sz="0" w:space="0" w:color="auto"/>
        <w:left w:val="none" w:sz="0" w:space="0" w:color="auto"/>
        <w:bottom w:val="none" w:sz="0" w:space="0" w:color="auto"/>
        <w:right w:val="none" w:sz="0" w:space="0" w:color="auto"/>
      </w:divBdr>
    </w:div>
    <w:div w:id="1305961966">
      <w:bodyDiv w:val="1"/>
      <w:marLeft w:val="0"/>
      <w:marRight w:val="0"/>
      <w:marTop w:val="0"/>
      <w:marBottom w:val="0"/>
      <w:divBdr>
        <w:top w:val="none" w:sz="0" w:space="0" w:color="auto"/>
        <w:left w:val="none" w:sz="0" w:space="0" w:color="auto"/>
        <w:bottom w:val="none" w:sz="0" w:space="0" w:color="auto"/>
        <w:right w:val="none" w:sz="0" w:space="0" w:color="auto"/>
      </w:divBdr>
    </w:div>
    <w:div w:id="1330132639">
      <w:bodyDiv w:val="1"/>
      <w:marLeft w:val="0"/>
      <w:marRight w:val="0"/>
      <w:marTop w:val="0"/>
      <w:marBottom w:val="0"/>
      <w:divBdr>
        <w:top w:val="none" w:sz="0" w:space="0" w:color="auto"/>
        <w:left w:val="none" w:sz="0" w:space="0" w:color="auto"/>
        <w:bottom w:val="none" w:sz="0" w:space="0" w:color="auto"/>
        <w:right w:val="none" w:sz="0" w:space="0" w:color="auto"/>
      </w:divBdr>
    </w:div>
    <w:div w:id="1396394080">
      <w:bodyDiv w:val="1"/>
      <w:marLeft w:val="0"/>
      <w:marRight w:val="0"/>
      <w:marTop w:val="0"/>
      <w:marBottom w:val="0"/>
      <w:divBdr>
        <w:top w:val="none" w:sz="0" w:space="0" w:color="auto"/>
        <w:left w:val="none" w:sz="0" w:space="0" w:color="auto"/>
        <w:bottom w:val="none" w:sz="0" w:space="0" w:color="auto"/>
        <w:right w:val="none" w:sz="0" w:space="0" w:color="auto"/>
      </w:divBdr>
    </w:div>
    <w:div w:id="1496874754">
      <w:bodyDiv w:val="1"/>
      <w:marLeft w:val="0"/>
      <w:marRight w:val="0"/>
      <w:marTop w:val="0"/>
      <w:marBottom w:val="0"/>
      <w:divBdr>
        <w:top w:val="none" w:sz="0" w:space="0" w:color="auto"/>
        <w:left w:val="none" w:sz="0" w:space="0" w:color="auto"/>
        <w:bottom w:val="none" w:sz="0" w:space="0" w:color="auto"/>
        <w:right w:val="none" w:sz="0" w:space="0" w:color="auto"/>
      </w:divBdr>
      <w:divsChild>
        <w:div w:id="1423061881">
          <w:marLeft w:val="446"/>
          <w:marRight w:val="0"/>
          <w:marTop w:val="0"/>
          <w:marBottom w:val="0"/>
          <w:divBdr>
            <w:top w:val="none" w:sz="0" w:space="0" w:color="auto"/>
            <w:left w:val="none" w:sz="0" w:space="0" w:color="auto"/>
            <w:bottom w:val="none" w:sz="0" w:space="0" w:color="auto"/>
            <w:right w:val="none" w:sz="0" w:space="0" w:color="auto"/>
          </w:divBdr>
        </w:div>
        <w:div w:id="1363017993">
          <w:marLeft w:val="446"/>
          <w:marRight w:val="0"/>
          <w:marTop w:val="0"/>
          <w:marBottom w:val="0"/>
          <w:divBdr>
            <w:top w:val="none" w:sz="0" w:space="0" w:color="auto"/>
            <w:left w:val="none" w:sz="0" w:space="0" w:color="auto"/>
            <w:bottom w:val="none" w:sz="0" w:space="0" w:color="auto"/>
            <w:right w:val="none" w:sz="0" w:space="0" w:color="auto"/>
          </w:divBdr>
        </w:div>
        <w:div w:id="1457486925">
          <w:marLeft w:val="446"/>
          <w:marRight w:val="0"/>
          <w:marTop w:val="0"/>
          <w:marBottom w:val="0"/>
          <w:divBdr>
            <w:top w:val="none" w:sz="0" w:space="0" w:color="auto"/>
            <w:left w:val="none" w:sz="0" w:space="0" w:color="auto"/>
            <w:bottom w:val="none" w:sz="0" w:space="0" w:color="auto"/>
            <w:right w:val="none" w:sz="0" w:space="0" w:color="auto"/>
          </w:divBdr>
        </w:div>
        <w:div w:id="1194003250">
          <w:marLeft w:val="446"/>
          <w:marRight w:val="0"/>
          <w:marTop w:val="0"/>
          <w:marBottom w:val="0"/>
          <w:divBdr>
            <w:top w:val="none" w:sz="0" w:space="0" w:color="auto"/>
            <w:left w:val="none" w:sz="0" w:space="0" w:color="auto"/>
            <w:bottom w:val="none" w:sz="0" w:space="0" w:color="auto"/>
            <w:right w:val="none" w:sz="0" w:space="0" w:color="auto"/>
          </w:divBdr>
        </w:div>
        <w:div w:id="106700558">
          <w:marLeft w:val="446"/>
          <w:marRight w:val="0"/>
          <w:marTop w:val="0"/>
          <w:marBottom w:val="0"/>
          <w:divBdr>
            <w:top w:val="none" w:sz="0" w:space="0" w:color="auto"/>
            <w:left w:val="none" w:sz="0" w:space="0" w:color="auto"/>
            <w:bottom w:val="none" w:sz="0" w:space="0" w:color="auto"/>
            <w:right w:val="none" w:sz="0" w:space="0" w:color="auto"/>
          </w:divBdr>
        </w:div>
        <w:div w:id="461072810">
          <w:marLeft w:val="446"/>
          <w:marRight w:val="0"/>
          <w:marTop w:val="0"/>
          <w:marBottom w:val="0"/>
          <w:divBdr>
            <w:top w:val="none" w:sz="0" w:space="0" w:color="auto"/>
            <w:left w:val="none" w:sz="0" w:space="0" w:color="auto"/>
            <w:bottom w:val="none" w:sz="0" w:space="0" w:color="auto"/>
            <w:right w:val="none" w:sz="0" w:space="0" w:color="auto"/>
          </w:divBdr>
        </w:div>
      </w:divsChild>
    </w:div>
    <w:div w:id="1508398288">
      <w:bodyDiv w:val="1"/>
      <w:marLeft w:val="0"/>
      <w:marRight w:val="0"/>
      <w:marTop w:val="0"/>
      <w:marBottom w:val="0"/>
      <w:divBdr>
        <w:top w:val="none" w:sz="0" w:space="0" w:color="auto"/>
        <w:left w:val="none" w:sz="0" w:space="0" w:color="auto"/>
        <w:bottom w:val="none" w:sz="0" w:space="0" w:color="auto"/>
        <w:right w:val="none" w:sz="0" w:space="0" w:color="auto"/>
      </w:divBdr>
    </w:div>
    <w:div w:id="1789425451">
      <w:bodyDiv w:val="1"/>
      <w:marLeft w:val="0"/>
      <w:marRight w:val="0"/>
      <w:marTop w:val="0"/>
      <w:marBottom w:val="0"/>
      <w:divBdr>
        <w:top w:val="none" w:sz="0" w:space="0" w:color="auto"/>
        <w:left w:val="none" w:sz="0" w:space="0" w:color="auto"/>
        <w:bottom w:val="none" w:sz="0" w:space="0" w:color="auto"/>
        <w:right w:val="none" w:sz="0" w:space="0" w:color="auto"/>
      </w:divBdr>
      <w:divsChild>
        <w:div w:id="1883590101">
          <w:marLeft w:val="0"/>
          <w:marRight w:val="0"/>
          <w:marTop w:val="150"/>
          <w:marBottom w:val="60"/>
          <w:divBdr>
            <w:top w:val="none" w:sz="0" w:space="0" w:color="auto"/>
            <w:left w:val="none" w:sz="0" w:space="0" w:color="auto"/>
            <w:bottom w:val="none" w:sz="0" w:space="0" w:color="auto"/>
            <w:right w:val="none" w:sz="0" w:space="0" w:color="auto"/>
          </w:divBdr>
          <w:divsChild>
            <w:div w:id="1720131572">
              <w:marLeft w:val="90"/>
              <w:marRight w:val="0"/>
              <w:marTop w:val="0"/>
              <w:marBottom w:val="0"/>
              <w:divBdr>
                <w:top w:val="single" w:sz="6" w:space="5" w:color="E8E8E8"/>
                <w:left w:val="single" w:sz="6" w:space="7" w:color="E8E8E8"/>
                <w:bottom w:val="single" w:sz="6" w:space="5" w:color="E8E8E8"/>
                <w:right w:val="single" w:sz="6" w:space="7" w:color="E8E8E8"/>
              </w:divBdr>
              <w:divsChild>
                <w:div w:id="49946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144589">
      <w:bodyDiv w:val="1"/>
      <w:marLeft w:val="0"/>
      <w:marRight w:val="0"/>
      <w:marTop w:val="0"/>
      <w:marBottom w:val="0"/>
      <w:divBdr>
        <w:top w:val="none" w:sz="0" w:space="0" w:color="auto"/>
        <w:left w:val="none" w:sz="0" w:space="0" w:color="auto"/>
        <w:bottom w:val="none" w:sz="0" w:space="0" w:color="auto"/>
        <w:right w:val="none" w:sz="0" w:space="0" w:color="auto"/>
      </w:divBdr>
    </w:div>
    <w:div w:id="1922836949">
      <w:bodyDiv w:val="1"/>
      <w:marLeft w:val="0"/>
      <w:marRight w:val="0"/>
      <w:marTop w:val="0"/>
      <w:marBottom w:val="0"/>
      <w:divBdr>
        <w:top w:val="none" w:sz="0" w:space="0" w:color="auto"/>
        <w:left w:val="none" w:sz="0" w:space="0" w:color="auto"/>
        <w:bottom w:val="none" w:sz="0" w:space="0" w:color="auto"/>
        <w:right w:val="none" w:sz="0" w:space="0" w:color="auto"/>
      </w:divBdr>
    </w:div>
    <w:div w:id="2053990763">
      <w:bodyDiv w:val="1"/>
      <w:marLeft w:val="0"/>
      <w:marRight w:val="0"/>
      <w:marTop w:val="0"/>
      <w:marBottom w:val="0"/>
      <w:divBdr>
        <w:top w:val="none" w:sz="0" w:space="0" w:color="auto"/>
        <w:left w:val="none" w:sz="0" w:space="0" w:color="auto"/>
        <w:bottom w:val="none" w:sz="0" w:space="0" w:color="auto"/>
        <w:right w:val="none" w:sz="0" w:space="0" w:color="auto"/>
      </w:divBdr>
    </w:div>
    <w:div w:id="2088573356">
      <w:bodyDiv w:val="1"/>
      <w:marLeft w:val="0"/>
      <w:marRight w:val="0"/>
      <w:marTop w:val="0"/>
      <w:marBottom w:val="0"/>
      <w:divBdr>
        <w:top w:val="none" w:sz="0" w:space="0" w:color="auto"/>
        <w:left w:val="none" w:sz="0" w:space="0" w:color="auto"/>
        <w:bottom w:val="none" w:sz="0" w:space="0" w:color="auto"/>
        <w:right w:val="none" w:sz="0" w:space="0" w:color="auto"/>
      </w:divBdr>
    </w:div>
    <w:div w:id="2127651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
	<Relationship Id="rId8" Type="http://schemas.openxmlformats.org/officeDocument/2006/relationships/hyperlink" Target="http://?" TargetMode="External"/>
	<Relationship Id="rId13" Type="http://schemas.openxmlformats.org/officeDocument/2006/relationships/hyperlink" Target="http://?" TargetMode="External"/>
	<Relationship Id="rId3" Type="http://schemas.openxmlformats.org/officeDocument/2006/relationships/hyperlink" Target="http://?" TargetMode="External"/>
	<Relationship Id="rId7" Type="http://schemas.openxmlformats.org/officeDocument/2006/relationships/hyperlink" Target="http://?" TargetMode="External"/>
	<Relationship Id="rId12" Type="http://schemas.openxmlformats.org/officeDocument/2006/relationships/hyperlink" Target="http://?" TargetMode="External"/>
	<Relationship Id="rId2" Type="http://schemas.openxmlformats.org/officeDocument/2006/relationships/hyperlink" Target="http://?" TargetMode="External"/>
	<Relationship Id="rId1" Type="http://schemas.openxmlformats.org/officeDocument/2006/relationships/hyperlink" Target="http://?" TargetMode="External"/>
	<Relationship Id="rId6" Type="http://schemas.openxmlformats.org/officeDocument/2006/relationships/hyperlink" Target="http://?" TargetMode="External"/>
	<Relationship Id="rId11" Type="http://schemas.openxmlformats.org/officeDocument/2006/relationships/hyperlink" Target="http://?" TargetMode="External"/>
	<Relationship Id="rId5" Type="http://schemas.openxmlformats.org/officeDocument/2006/relationships/hyperlink" Target="http://?" TargetMode="External"/>
	<Relationship Id="rId10" Type="http://schemas.openxmlformats.org/officeDocument/2006/relationships/hyperlink" Target="http://?" TargetMode="External"/>
	<Relationship Id="rId4" Type="http://schemas.openxmlformats.org/officeDocument/2006/relationships/hyperlink" Target="http://?" TargetMode="External"/>
	<Relationship Id="rId9" Type="http://schemas.openxmlformats.org/officeDocument/2006/relationships/hyperlink" Target="http://?" TargetMode="External"/>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EFDF90-D516-42FD-B4A4-F3768DE31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3155</Words>
  <Characters>17990</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Policy Submission</vt:lpstr>
    </vt:vector>
  </TitlesOfParts>
  <Company>Huawei Technologies Co.,Ltd.</Company>
  <LinksUpToDate>false</LinksUpToDate>
  <CharactersWithSpaces>21103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Submission</dc:title>
  <dc:creator>Musa Ngubeni;Chenfazhi;Desre Nieuwoudt</dc:creator>
  <cp:lastModifiedBy>Musa Ngobeni (A)</cp:lastModifiedBy>
  <cp:revision>2</cp:revision>
  <cp:lastPrinted>2022-02-11T12:36:00Z</cp:lastPrinted>
  <dcterms:created xsi:type="dcterms:W3CDTF">2026-01-27T13:41:00Z</dcterms:created>
  <dcterms:modified xsi:type="dcterms:W3CDTF">2026-01-27T13:41:00Z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(11)fxiwBI1sszEz61CyBmcZ2TJv/ePeT+xYavyBY62t02yanASRu+tgxEY7sKYkazvquK00veTA_x000d_
zDdqeBJwV9CwoiYm2zCEDbALU5z5Jw3Qfor7hnXVY+3x8uItoQcCRrFf9VsVD0VVJ8pOSW3o_x000d_
Cgp5MwliZeipwi/Jozczgr99Gw7uTWd02gOIIcbZSPKAtxZP6ASd0p9HMVHF3VlIw2pzltEk_x000d_
DiqA6G2XfqD2vuAsBe</vt:lpwstr>
  </property>
  <property fmtid="{D5CDD505-2E9C-101B-9397-08002B2CF9AE}" pid="3" name="_ms_pID_7253431">
    <vt:lpwstr>eM5YQULhc27zXLswS7BxA/N57DNbHj/9Qcu2qVmiXO1rLsoiTP79hX_x000d_
+2ffHEu+gwxDPRDnWx9CcxIW19dk0rW1qxk7LC76oqdVi1XktO3DmRpwSjFp43JsWBRB7o+f_x000d_
aUukDYlimQYyl9MndKQTvhxZ/LHQfQt5muwxZY0e6qK7ujVCMYuiAmRalwxjEEtqGt6stXvt_x000d_
IMjGuBCki41HppPX+NwYy1taNJ5ZoeXMSK9f</vt:lpwstr>
  </property>
  <property fmtid="{D5CDD505-2E9C-101B-9397-08002B2CF9AE}" pid="4" name="_ms_pID_7253432">
    <vt:lpwstr>b+UK05nJ+7KY1awh7zsPVwyRRxH6jGqy2v0D_x000d_
7Yj/gVgytJ2jSZkoLDt2Emzj4sn17gsO2Pzu5wujSgsmDV6ylcbtez1HwCZbejIKHb11S+S6_x000d_
b2GHiIh/fdu5za3u81EuvHdlvQEnos4e4g3EispJY1Y4GS2bWthzkfiYIRprhk7VkAO80hKE_x000d_
ZAx6uytPjzAMBp/w1OT+q8/jwKmKtYpJRBCeu5XpqwDlp6uFnf0LHk</vt:lpwstr>
  </property>
  <property fmtid="{D5CDD505-2E9C-101B-9397-08002B2CF9AE}" pid="5" name="_ms_pID_7253433">
    <vt:lpwstr>zUzIHamfHF/9FuuXyr_x000d_
xDly2EO8xQ3sKE6h5QFrQVE1nZCh6QOTFdfB8Dw1HQ0wPcK6ddobbPyueSjGbvgd4iI2UCrm_x000d_
jG36OoKJi+O2sQTGddU7tuEQnbzglzKYH0h6j21BACX4Btl53SojAiJXMN9eKO+L38ai38MG_x000d_
i1mYz8DsBWpWhS4aZqxPtT/I4Z3fbACKGIvhfRsfokOzqviy+th6UDOpPDTTO6rczLgdEYOf</vt:lpwstr>
  </property>
  <property fmtid="{D5CDD505-2E9C-101B-9397-08002B2CF9AE}" pid="6" name="_ms_pID_7253434">
    <vt:lpwstr>_x000d_
qcP2RKE+u/CbZ+TD4vI65q0no8cWzswF4oaWg9VfH1vYPH8ZLRqbBY2DQsXI0RknumsoTD0w_x000d_
lP0u5Xj4roy4Nc4JBxwMgRoeVTJYFeI0l1tSa9Pzrwbpiy1dc4PTn6dWfXTSxoi8XogkQsi+_x000d_
exf32eLkJrOHw2wYuT/UnPYtAK5X+8FnKsiaGdD/bFXhs2Lsx+jmlBMte7K6M5IS8+154Sjx_x000d_
kcfzv5xrBxo/oDPD</vt:lpwstr>
  </property>
  <property fmtid="{D5CDD505-2E9C-101B-9397-08002B2CF9AE}" pid="7" name="_ms_pID_7253435">
    <vt:lpwstr>NNwQVWeNi8otRSRXAyfyRIGblbkiI+UibT7TLOHNqtZokRKjK5WZq9lD_x000d_
CQw4+7cWAuudtDd+YnkdRADkppwK6sV+SmqSHfPY+5XKvcGF9RC4hEhnjP4hK8QhB5t5phCF_x000d_
M44x8yBGQctRtUhYUi9FbU9DxvLor3+CzBaALVTU0MFErVk3j5sLImvfs3HOZkH1JqJ4Od9T_x000d_
2s25yVuB4ii50Df5vNpp/WoLZhq1xH5qIV</vt:lpwstr>
  </property>
  <property fmtid="{D5CDD505-2E9C-101B-9397-08002B2CF9AE}" pid="8" name="_ms_pID_7253436">
    <vt:lpwstr>/kqzxIoW8eJZUxY4KJbNd938iIPVssjiBnH97l_x000d_
gJZjE3iqcWurfC0qEo4dHhFbRusPM+oj0nme8UN+wfhbwLVqkfFCw6Zs8JVZ8AVpSUzhvoit_x000d_
/4AvvTL/e34DnB+vK2Ti2xc+pinCV9LjM/qzbG4W0Ze3dmq2upPAXCE4DQkX+81+SBYNd2Rm_x000d_
BQK9yXs+mzAgF7dLCW0tZoJk2EKPbYCntnJCny6aqA2DnAKynj9n</vt:lpwstr>
  </property>
  <property fmtid="{D5CDD505-2E9C-101B-9397-08002B2CF9AE}" pid="9" name="_ms_pID_7253437">
    <vt:lpwstr>pt1gxVrpWEaghASDE1/l_x000d_
f3rLLC5iskhAr9IMsGFRn5rPaEuUikmJr2tpGmgtW+kphVW3gXdWM+sidKCts03XlCdPLx02_x000d_
I3LWfrYZsqJb3I2rsRT/4jwrEM8qg9AdK+iqX1r9cX2Jv8jOwjeg2YmuMlOqMSW3qdf8Yl2f_x000d_
MPXeTZYkr3Uei9MhUEbYeNGYtb1kjarhnQBvemvn2+bp+MsOcshPJvCpP+7Hcd1tBtvcvr</vt:lpwstr>
  </property>
  <property fmtid="{D5CDD505-2E9C-101B-9397-08002B2CF9AE}" pid="10" name="_ms_pID_7253438">
    <vt:lpwstr>Sm_x000d_
nEdVi6ziGFG8/OJneOaeiBQJpIPI/niMOpdIOVigMHQVQKMdZ+J8mhbrtqVcSJTYqt9wbe+p_x000d_
6uWAv7KEBkJRjaGe6tJeuYGx8IfBME407wNlJ6Q/swI4UDiYkStQmexWgQHDYNHaZ2aScrfP_x000d_
GRttwf0hrOBvULxiecbqMM3W4SpiMsUJEZU/9g10W/DOmz2UKpLfdj87fpHrqhLprIK5r3n8_x000d_
C2bCauvyT2nSo5</vt:lpwstr>
  </property>
  <property fmtid="{D5CDD505-2E9C-101B-9397-08002B2CF9AE}" pid="11" name="_ms_pID_7253439">
    <vt:lpwstr>2LwTtnuvNLGaY5lzmh89MT9lCibJRUh/zmWh3Vhss54iczEunEyc8YLlvR_x000d_
0cXrb6vVIVrvJjivtb2L+FaGdNN6VLT/t7moC9vlFz6Vy/BKFz0XVeIdajANtNj7sSRewWaD_x000d_
JVg7Fts05/zk9FiaQ0dshLwtxzhTy6es9CEbommvAxgL7KhN8AWp3SGTo7bwJQx9w+I5RU8Z_x000d_
rh5Sv8VYfBpTPO2QZukarLoriG4TSLb5</vt:lpwstr>
  </property>
  <property fmtid="{D5CDD505-2E9C-101B-9397-08002B2CF9AE}" pid="12" name="_ms_pID_72534310">
    <vt:lpwstr>mO7VC4fkugzajXx4eN1roEYATz3C5cPzefdUvXzS_x000d_
XFSmHRvP1jz9ZByPFi0HKsHcqVx9RMQjHEUqxhgicJBJWXjSJNWA/gnq4FqainA9ua0IW+Vm_x000d_
M+GQqmYWw50yyzhbatYj6O6ts3o=</vt:lpwstr>
  </property>
  <property fmtid="{D5CDD505-2E9C-101B-9397-08002B2CF9AE}" pid="13" name="_new_ms_pID_72543">
    <vt:lpwstr>(3)naMCzleMA4Le4AT1fVZMODtlado28TvnTJghJ3ThWIFPRtszixSf2cbJmwh3ygbgLx2aA/eJ
TU7A8pWm78aGd2roB7d6HKbdC4Dmg8pQG0xL13SZ1akMWh6CcgOFahKvBKdIol6/4nsaBc4M
bFACLtyN23wePown2VT/Tm3H+VH6x7KG2t/0lrWMCQRDRSJ6ad1Ld5bCVoDaE/03xJDNit9W
If4jnF/rdPcwCbg2VH</vt:lpwstr>
  </property>
  <property fmtid="{D5CDD505-2E9C-101B-9397-08002B2CF9AE}" pid="14" name="_new_ms_pID_725431">
    <vt:lpwstr>kCS4Uyzu9ErjTQRg7x5T6TSsHSiAFk8HbTjVw5v8m5kRT5+3B+/IJK
TQD/gI7EA2/Hej0h+M4gZbQu3Fw/LFvMna+JbvQUetvfEcm3cclgDr5D5/4IPuF1QoZYdAD2
ug5z+JF8jH4SmHd9C4zxbgtY+zD+S2BEccHCXG6RW76gQ0Cw9BlL0E+MDIq3LxFWsfroNF79
n5ZZLlJQMx0NKyyWvM8hxQtLwV48XhtoUAyw</vt:lpwstr>
  </property>
  <property fmtid="{D5CDD505-2E9C-101B-9397-08002B2CF9AE}" pid="15" name="_new_ms_pID_725432">
    <vt:lpwstr>aOVzKV6P6X7C0/cD5NDdRU3TThmizxUmCjAq
/yYJq0g7HNcEpqvsnfUkTy3Srkk+/rzJ53ajmDrp5agVbTfggTFBVcbmNEKPsA84fST9HAuT
xPUyoHM4kepYsu0HREYc9A==</vt:lpwstr>
  </property>
  <property fmtid="{D5CDD505-2E9C-101B-9397-08002B2CF9AE}" pid="16" name="_2015_ms_pID_725343">
    <vt:lpwstr>(3)WRyFq/hHZNNuQhOPutnEY9iLwrFVf4JPsY999c38PdTHVBM/yqqsuu0sdK+aeOV23g2oEhfQ
LrglDkaM/FOLUxmJ2MGl+4mCa1AIWzOoeDmFqcqtwWSZxNJ8Wv1QMs5GugU+GllbQAZXZAqG
Q3vbAGxo2pYhf8/Wq6k9z+eJPJSLCTHgdBadpcQ2V+Rq59TcOMbmHTAKWIMoOd3CNqsgk6rm
BZn8zHhvW9UzGBmx+O</vt:lpwstr>
  </property>
  <property fmtid="{D5CDD505-2E9C-101B-9397-08002B2CF9AE}" pid="17" name="_2015_ms_pID_7253431">
    <vt:lpwstr>zSPgcYWWuT6d5lL42/cj/BUsaJvuyQjQanhTGMV0cYytIf8wdP2Ikj
EGzqsraQ1c5O1jJOTj5ZZx9bDHG5uOaGayBqx+oLfbfeDSYfI2E6+fOaVkId71uWL3jy/9gM
yQZ/3Xcp1aHnqzFdRyt3R3WdFz/oBeOyNe/rne4L1HUAiQ6ocX8FiAG3G9zPtU6M6JzZ/MIT
PsDwG8EFAymdJ3mpLkBxb4zuH/0cSjU64wjq</vt:lpwstr>
  </property>
  <property fmtid="{D5CDD505-2E9C-101B-9397-08002B2CF9AE}" pid="18" name="_2015_ms_pID_7253432">
    <vt:lpwstr>3SF0BRbM8WYIftC5XCx2nJ/hTMcwZiubr0rh
D+AoJXNSWb7naRINHYN2ntNfc+2tSO6dgTVNXLcTHWXIKbeZ3cg=</vt:lpwstr>
  </property>
  <property fmtid="{D5CDD505-2E9C-101B-9397-08002B2CF9AE}" pid="19" name="GrammarlyDocumentId">
    <vt:lpwstr>3fc966d49406023d5d34ea11bae597d28179e3819a4a723a5e574dcd11688a37</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1717762788</vt:lpwstr>
  </property>
</Properties>
</file>