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DB1B17" w14:paraId="6B41FF0B" w14:textId="77777777" w:rsidTr="00C961F7">
        <w:trPr>
          <w:cantSplit/>
          <w:trHeight w:val="851"/>
        </w:trPr>
        <w:tc>
          <w:tcPr>
            <w:tcW w:w="6469" w:type="dxa"/>
            <w:vAlign w:val="center"/>
          </w:tcPr>
          <w:p w14:paraId="2201A146" w14:textId="77777777" w:rsidR="00DB1B17" w:rsidRPr="003737DE" w:rsidRDefault="00DB1B17" w:rsidP="00C961F7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>
              <w:rPr>
                <w:rFonts w:cs="Times"/>
                <w:b/>
                <w:sz w:val="32"/>
                <w:szCs w:val="32"/>
              </w:rPr>
              <w:br/>
            </w:r>
            <w:r w:rsidRPr="00162982">
              <w:rPr>
                <w:b/>
                <w:bCs/>
                <w:sz w:val="24"/>
                <w:szCs w:val="24"/>
              </w:rPr>
              <w:t>First meeting - Geneva, 16-17 September 2019</w:t>
            </w:r>
          </w:p>
        </w:tc>
        <w:tc>
          <w:tcPr>
            <w:tcW w:w="3561" w:type="dxa"/>
            <w:vAlign w:val="center"/>
          </w:tcPr>
          <w:p w14:paraId="3394B71F" w14:textId="77777777" w:rsidR="00DB1B17" w:rsidRDefault="00DB1B17" w:rsidP="00C961F7">
            <w:pPr>
              <w:pStyle w:val="dnum"/>
              <w:framePr w:hSpace="0" w:wrap="auto" w:vAnchor="margin" w:hAnchor="text" w:yAlign="inline"/>
              <w:spacing w:after="0"/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08DDA536" wp14:editId="3A17B174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B17" w:rsidRPr="00F5094D" w14:paraId="2EF61B7E" w14:textId="77777777" w:rsidTr="00C961F7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5DE24095" w14:textId="77777777" w:rsidR="00DB1B17" w:rsidRDefault="00DB1B17" w:rsidP="00C961F7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4BD46A12" w14:textId="77777777" w:rsidR="00DB1B17" w:rsidRPr="00F5094D" w:rsidRDefault="00DB1B17" w:rsidP="00C961F7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DB1B17" w:rsidRPr="00C03DBE" w14:paraId="23551EFB" w14:textId="77777777" w:rsidTr="00C961F7">
        <w:trPr>
          <w:cantSplit/>
          <w:trHeight w:val="138"/>
        </w:trPr>
        <w:tc>
          <w:tcPr>
            <w:tcW w:w="6469" w:type="dxa"/>
          </w:tcPr>
          <w:p w14:paraId="32897A47" w14:textId="77777777" w:rsidR="00DB1B17" w:rsidRPr="00162982" w:rsidRDefault="00DB1B17" w:rsidP="00C961F7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5F24D6E6" w14:textId="77777777" w:rsidR="00DB1B17" w:rsidRPr="00177E9C" w:rsidRDefault="00814871" w:rsidP="00C961F7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Revision 1 to</w:t>
            </w:r>
            <w:r>
              <w:rPr>
                <w:b/>
                <w:bCs/>
                <w:sz w:val="24"/>
                <w:szCs w:val="24"/>
              </w:rPr>
              <w:br/>
            </w:r>
            <w:r w:rsidR="00DB1B17" w:rsidRPr="00177E9C">
              <w:rPr>
                <w:b/>
                <w:bCs/>
                <w:sz w:val="24"/>
                <w:szCs w:val="24"/>
              </w:rPr>
              <w:t xml:space="preserve">Document </w:t>
            </w:r>
            <w:r w:rsidR="00C961F7" w:rsidRPr="00177E9C">
              <w:rPr>
                <w:b/>
                <w:bCs/>
                <w:sz w:val="24"/>
                <w:szCs w:val="24"/>
              </w:rPr>
              <w:t>EG-ITRs-1</w:t>
            </w:r>
            <w:r w:rsidR="00C961F7" w:rsidRPr="00814871">
              <w:rPr>
                <w:b/>
                <w:bCs/>
                <w:sz w:val="24"/>
                <w:szCs w:val="24"/>
              </w:rPr>
              <w:t>/DL/1-E</w:t>
            </w:r>
          </w:p>
        </w:tc>
      </w:tr>
      <w:tr w:rsidR="00DB1B17" w:rsidRPr="003737DE" w14:paraId="151D9AC0" w14:textId="77777777" w:rsidTr="00C961F7">
        <w:trPr>
          <w:cantSplit/>
          <w:trHeight w:val="138"/>
        </w:trPr>
        <w:tc>
          <w:tcPr>
            <w:tcW w:w="6469" w:type="dxa"/>
          </w:tcPr>
          <w:p w14:paraId="13924C77" w14:textId="77777777" w:rsidR="00DB1B17" w:rsidRPr="00814871" w:rsidRDefault="00DB1B17" w:rsidP="00C961F7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n-GB"/>
              </w:rPr>
            </w:pPr>
          </w:p>
        </w:tc>
        <w:tc>
          <w:tcPr>
            <w:tcW w:w="3561" w:type="dxa"/>
          </w:tcPr>
          <w:p w14:paraId="6E8C3D6E" w14:textId="77777777" w:rsidR="00DB1B17" w:rsidRPr="00162982" w:rsidRDefault="00AE3D3B" w:rsidP="00C961F7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DB1B17" w:rsidRPr="00162982">
              <w:rPr>
                <w:b/>
                <w:sz w:val="24"/>
                <w:szCs w:val="24"/>
              </w:rPr>
              <w:t xml:space="preserve"> </w:t>
            </w:r>
            <w:r w:rsidR="00DB1B17">
              <w:rPr>
                <w:b/>
                <w:sz w:val="24"/>
                <w:szCs w:val="24"/>
              </w:rPr>
              <w:t>September</w:t>
            </w:r>
            <w:r w:rsidR="00DB1B17" w:rsidRPr="00162982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DB1B17" w:rsidRPr="003737DE" w14:paraId="37F8B93D" w14:textId="77777777" w:rsidTr="00C961F7">
        <w:trPr>
          <w:cantSplit/>
          <w:trHeight w:val="138"/>
        </w:trPr>
        <w:tc>
          <w:tcPr>
            <w:tcW w:w="6469" w:type="dxa"/>
          </w:tcPr>
          <w:p w14:paraId="2BC67FE8" w14:textId="77777777" w:rsidR="00DB1B17" w:rsidRPr="00162982" w:rsidRDefault="00DB1B17" w:rsidP="00C961F7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7925BE0C" w14:textId="77777777" w:rsidR="00DB1B17" w:rsidRPr="00162982" w:rsidRDefault="00DB1B17" w:rsidP="00C961F7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>English</w:t>
            </w:r>
            <w:r w:rsidR="00C961F7">
              <w:rPr>
                <w:b/>
                <w:sz w:val="24"/>
                <w:szCs w:val="24"/>
              </w:rPr>
              <w:t xml:space="preserve"> only</w:t>
            </w:r>
          </w:p>
        </w:tc>
      </w:tr>
    </w:tbl>
    <w:p w14:paraId="5BE71BC5" w14:textId="77777777" w:rsidR="00DB1B17" w:rsidRDefault="00DB1B17" w:rsidP="00DB1B17">
      <w:pPr>
        <w:jc w:val="center"/>
        <w:rPr>
          <w:b/>
        </w:rPr>
      </w:pPr>
    </w:p>
    <w:p w14:paraId="4C2140C3" w14:textId="77777777" w:rsidR="00E62AE8" w:rsidRDefault="00E62AE8" w:rsidP="00DB1B17">
      <w:pPr>
        <w:jc w:val="center"/>
        <w:rPr>
          <w:b/>
        </w:rPr>
      </w:pPr>
    </w:p>
    <w:p w14:paraId="32BE5DC5" w14:textId="77777777" w:rsidR="004909BF" w:rsidRDefault="00FF352F" w:rsidP="00304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Examination Table</w:t>
      </w:r>
    </w:p>
    <w:p w14:paraId="4C201BBE" w14:textId="77777777" w:rsidR="00E62AE8" w:rsidRDefault="00E62AE8" w:rsidP="00304782">
      <w:pPr>
        <w:jc w:val="center"/>
        <w:rPr>
          <w:b/>
          <w:sz w:val="28"/>
          <w:szCs w:val="28"/>
        </w:rPr>
      </w:pPr>
    </w:p>
    <w:tbl>
      <w:tblPr>
        <w:tblStyle w:val="TableGrid"/>
        <w:tblW w:w="9935" w:type="dxa"/>
        <w:tblLook w:val="04A0" w:firstRow="1" w:lastRow="0" w:firstColumn="1" w:lastColumn="0" w:noHBand="0" w:noVBand="1"/>
      </w:tblPr>
      <w:tblGrid>
        <w:gridCol w:w="1494"/>
        <w:gridCol w:w="1144"/>
        <w:gridCol w:w="1145"/>
        <w:gridCol w:w="1545"/>
        <w:gridCol w:w="2860"/>
        <w:gridCol w:w="1747"/>
      </w:tblGrid>
      <w:tr w:rsidR="00E62AE8" w14:paraId="303F41B7" w14:textId="77777777" w:rsidTr="00074C07">
        <w:tc>
          <w:tcPr>
            <w:tcW w:w="1494" w:type="dxa"/>
            <w:vAlign w:val="center"/>
          </w:tcPr>
          <w:p w14:paraId="06D52550" w14:textId="77777777" w:rsidR="00E62AE8" w:rsidRDefault="00E62AE8" w:rsidP="00074C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 Article</w:t>
            </w:r>
          </w:p>
        </w:tc>
        <w:tc>
          <w:tcPr>
            <w:tcW w:w="1144" w:type="dxa"/>
            <w:vAlign w:val="center"/>
          </w:tcPr>
          <w:p w14:paraId="3A052702" w14:textId="77777777" w:rsidR="00E62AE8" w:rsidRDefault="00E62AE8" w:rsidP="00074C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article and Provision</w:t>
            </w:r>
          </w:p>
        </w:tc>
        <w:tc>
          <w:tcPr>
            <w:tcW w:w="1145" w:type="dxa"/>
            <w:vAlign w:val="center"/>
          </w:tcPr>
          <w:p w14:paraId="72B6535C" w14:textId="77777777" w:rsidR="00E62AE8" w:rsidRDefault="00E62AE8" w:rsidP="00074C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Related 1988 sub article and provision</w:t>
            </w:r>
          </w:p>
        </w:tc>
        <w:tc>
          <w:tcPr>
            <w:tcW w:w="1545" w:type="dxa"/>
            <w:vAlign w:val="center"/>
          </w:tcPr>
          <w:p w14:paraId="57A8F63E" w14:textId="77777777" w:rsidR="00E62AE8" w:rsidRDefault="00E62AE8" w:rsidP="00074C07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Applicability in fostering provision and development of networks and services</w:t>
            </w:r>
          </w:p>
        </w:tc>
        <w:tc>
          <w:tcPr>
            <w:tcW w:w="2860" w:type="dxa"/>
            <w:vAlign w:val="center"/>
          </w:tcPr>
          <w:p w14:paraId="07FB9240" w14:textId="77777777" w:rsidR="00E62AE8" w:rsidRDefault="00E62AE8" w:rsidP="00074C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Flexibility to accommodate New trends and Emergent issues</w:t>
            </w:r>
          </w:p>
        </w:tc>
        <w:tc>
          <w:tcPr>
            <w:tcW w:w="1747" w:type="dxa"/>
            <w:vAlign w:val="center"/>
          </w:tcPr>
          <w:p w14:paraId="5926600A" w14:textId="77777777" w:rsidR="00E62AE8" w:rsidRDefault="00E62AE8" w:rsidP="00074C07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Outcome</w:t>
            </w:r>
          </w:p>
        </w:tc>
      </w:tr>
      <w:tr w:rsidR="00E62AE8" w14:paraId="301888E0" w14:textId="77777777" w:rsidTr="00074C07">
        <w:tc>
          <w:tcPr>
            <w:tcW w:w="1494" w:type="dxa"/>
          </w:tcPr>
          <w:p w14:paraId="05C8DA68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056F81DB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21D55945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10CE7413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5B47C5BB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6B79860D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E62AE8" w14:paraId="28A02FD7" w14:textId="77777777" w:rsidTr="00074C07">
        <w:tc>
          <w:tcPr>
            <w:tcW w:w="1494" w:type="dxa"/>
          </w:tcPr>
          <w:p w14:paraId="3847BF6F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3387D8CC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7D94CAEB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50399E25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4D74C62F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13E3E3A0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E62AE8" w14:paraId="0C8E0695" w14:textId="77777777" w:rsidTr="00074C07">
        <w:tc>
          <w:tcPr>
            <w:tcW w:w="1494" w:type="dxa"/>
          </w:tcPr>
          <w:p w14:paraId="24582638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64BF0763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0F8B4107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6C4A57C5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7B16238A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1B5E5275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  <w:tr w:rsidR="00E62AE8" w14:paraId="3E72471F" w14:textId="77777777" w:rsidTr="00074C07">
        <w:tc>
          <w:tcPr>
            <w:tcW w:w="1494" w:type="dxa"/>
          </w:tcPr>
          <w:p w14:paraId="3F9F3ED2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4" w:type="dxa"/>
          </w:tcPr>
          <w:p w14:paraId="5B39DD12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145" w:type="dxa"/>
          </w:tcPr>
          <w:p w14:paraId="55E2F320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545" w:type="dxa"/>
          </w:tcPr>
          <w:p w14:paraId="7E95E890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2860" w:type="dxa"/>
          </w:tcPr>
          <w:p w14:paraId="5807E9A0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  <w:tc>
          <w:tcPr>
            <w:tcW w:w="1747" w:type="dxa"/>
          </w:tcPr>
          <w:p w14:paraId="429A8F25" w14:textId="77777777" w:rsidR="00E62AE8" w:rsidRDefault="00E62AE8" w:rsidP="00074C07">
            <w:pPr>
              <w:pStyle w:val="ListParagraph"/>
              <w:spacing w:before="840"/>
              <w:ind w:left="0"/>
              <w:rPr>
                <w:b/>
                <w:bCs/>
              </w:rPr>
            </w:pPr>
          </w:p>
        </w:tc>
      </w:tr>
    </w:tbl>
    <w:p w14:paraId="411F5172" w14:textId="77777777" w:rsidR="00E62AE8" w:rsidRDefault="00E62AE8" w:rsidP="00304782">
      <w:pPr>
        <w:jc w:val="center"/>
        <w:rPr>
          <w:b/>
          <w:sz w:val="28"/>
          <w:szCs w:val="28"/>
        </w:rPr>
      </w:pPr>
    </w:p>
    <w:p w14:paraId="69844C71" w14:textId="77777777" w:rsidR="00387F19" w:rsidRDefault="00387F19" w:rsidP="00304782">
      <w:pPr>
        <w:jc w:val="center"/>
        <w:rPr>
          <w:b/>
          <w:sz w:val="28"/>
          <w:szCs w:val="28"/>
        </w:rPr>
      </w:pPr>
    </w:p>
    <w:p w14:paraId="30BE75A6" w14:textId="77777777" w:rsidR="00F76391" w:rsidRDefault="00F7639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0AEA9F8" w14:textId="7AF3197A" w:rsidR="00F76391" w:rsidRPr="00F76391" w:rsidRDefault="00F76391" w:rsidP="00F76391">
      <w:pPr>
        <w:ind w:left="720"/>
        <w:jc w:val="center"/>
        <w:rPr>
          <w:rFonts w:ascii="Verdana" w:hAnsi="Verdana"/>
          <w:b/>
        </w:rPr>
      </w:pPr>
      <w:r w:rsidRPr="00F76391">
        <w:rPr>
          <w:rFonts w:ascii="Verdana" w:hAnsi="Verdana"/>
          <w:b/>
        </w:rPr>
        <w:lastRenderedPageBreak/>
        <w:t>QUESTIONS</w:t>
      </w:r>
      <w:r>
        <w:rPr>
          <w:rFonts w:ascii="Verdana" w:hAnsi="Verdana"/>
          <w:b/>
        </w:rPr>
        <w:t xml:space="preserve"> TO STAKEHOLDERS</w:t>
      </w:r>
    </w:p>
    <w:p w14:paraId="29DB1FD6" w14:textId="77777777" w:rsidR="00F76391" w:rsidRDefault="00F76391" w:rsidP="00F76391">
      <w:pPr>
        <w:ind w:left="720"/>
        <w:jc w:val="both"/>
        <w:rPr>
          <w:sz w:val="28"/>
          <w:szCs w:val="28"/>
        </w:rPr>
      </w:pPr>
    </w:p>
    <w:p w14:paraId="4989F3EC" w14:textId="13FD9D94" w:rsidR="00387F19" w:rsidRPr="00F76391" w:rsidRDefault="00387F19" w:rsidP="00F76391">
      <w:pPr>
        <w:spacing w:line="360" w:lineRule="auto"/>
        <w:ind w:left="1276" w:hanging="556"/>
        <w:jc w:val="both"/>
        <w:rPr>
          <w:rFonts w:ascii="Verdana" w:hAnsi="Verdana"/>
        </w:rPr>
      </w:pPr>
      <w:r w:rsidRPr="006D5229">
        <w:rPr>
          <w:rFonts w:ascii="Verdana" w:hAnsi="Verdana"/>
          <w:b/>
        </w:rPr>
        <w:t>Q</w:t>
      </w:r>
      <w:r w:rsidR="00F76391" w:rsidRPr="006D5229">
        <w:rPr>
          <w:rFonts w:ascii="Verdana" w:hAnsi="Verdana"/>
          <w:b/>
        </w:rPr>
        <w:t>1</w:t>
      </w:r>
      <w:r w:rsidR="006D5229" w:rsidRPr="006D5229">
        <w:rPr>
          <w:rFonts w:ascii="Verdana" w:hAnsi="Verdana"/>
          <w:b/>
        </w:rPr>
        <w:t>:</w:t>
      </w:r>
      <w:r w:rsidRPr="00F76391">
        <w:rPr>
          <w:rFonts w:ascii="Verdana" w:hAnsi="Verdana"/>
        </w:rPr>
        <w:t xml:space="preserve"> </w:t>
      </w:r>
      <w:r w:rsidR="00F76391" w:rsidRPr="00F76391">
        <w:rPr>
          <w:rFonts w:ascii="Verdana" w:hAnsi="Verdana"/>
        </w:rPr>
        <w:t xml:space="preserve"> </w:t>
      </w:r>
      <w:r w:rsidRPr="00F76391">
        <w:rPr>
          <w:rFonts w:ascii="Verdana" w:hAnsi="Verdana"/>
        </w:rPr>
        <w:t xml:space="preserve">Please identify the provision(s) of the 2012 ITRs you consider essential </w:t>
      </w:r>
      <w:r w:rsidR="007369FE" w:rsidRPr="00F76391">
        <w:rPr>
          <w:rFonts w:ascii="Verdana" w:hAnsi="Verdana"/>
        </w:rPr>
        <w:t xml:space="preserve">and those you do not consider essential </w:t>
      </w:r>
      <w:r w:rsidRPr="00F76391">
        <w:rPr>
          <w:rFonts w:ascii="Verdana" w:hAnsi="Verdana"/>
        </w:rPr>
        <w:t xml:space="preserve">for the </w:t>
      </w:r>
      <w:r w:rsidR="007369FE" w:rsidRPr="00F76391">
        <w:rPr>
          <w:rFonts w:ascii="Verdana" w:hAnsi="Verdana"/>
        </w:rPr>
        <w:t>enabling or hinderance</w:t>
      </w:r>
      <w:r w:rsidRPr="00F76391">
        <w:rPr>
          <w:rFonts w:ascii="Verdana" w:hAnsi="Verdana"/>
        </w:rPr>
        <w:t xml:space="preserve"> of </w:t>
      </w:r>
      <w:r w:rsidR="007369FE" w:rsidRPr="00F76391">
        <w:rPr>
          <w:rFonts w:ascii="Verdana" w:hAnsi="Verdana"/>
        </w:rPr>
        <w:t>global interconnection and interoperability of telecommunications traffic across national borders</w:t>
      </w:r>
      <w:r w:rsidRPr="00F76391">
        <w:rPr>
          <w:rFonts w:ascii="Verdana" w:hAnsi="Verdana"/>
        </w:rPr>
        <w:t xml:space="preserve"> in today’s international telecommunications environment based on your experience. Please cite examples of the essentiality.</w:t>
      </w:r>
    </w:p>
    <w:p w14:paraId="4C5F7A01" w14:textId="290D2B8F" w:rsidR="00387F19" w:rsidRPr="00F76391" w:rsidRDefault="00387F19" w:rsidP="00F76391">
      <w:pPr>
        <w:spacing w:line="360" w:lineRule="auto"/>
        <w:ind w:left="1276" w:hanging="556"/>
        <w:rPr>
          <w:rFonts w:ascii="Verdana" w:hAnsi="Verdana"/>
        </w:rPr>
      </w:pPr>
      <w:r w:rsidRPr="006D5229">
        <w:rPr>
          <w:rFonts w:ascii="Verdana" w:hAnsi="Verdana"/>
          <w:b/>
        </w:rPr>
        <w:t>Q</w:t>
      </w:r>
      <w:r w:rsidR="00F76391" w:rsidRPr="006D5229">
        <w:rPr>
          <w:rFonts w:ascii="Verdana" w:hAnsi="Verdana"/>
          <w:b/>
        </w:rPr>
        <w:t>2</w:t>
      </w:r>
      <w:r w:rsidR="006D5229" w:rsidRPr="006D5229">
        <w:rPr>
          <w:rFonts w:ascii="Verdana" w:hAnsi="Verdana"/>
          <w:b/>
        </w:rPr>
        <w:t>:</w:t>
      </w:r>
      <w:r w:rsidRPr="00F76391">
        <w:rPr>
          <w:rFonts w:ascii="Verdana" w:hAnsi="Verdana"/>
        </w:rPr>
        <w:t xml:space="preserve"> </w:t>
      </w:r>
      <w:r w:rsidR="00F76391" w:rsidRPr="00F76391">
        <w:rPr>
          <w:rFonts w:ascii="Verdana" w:hAnsi="Verdana"/>
        </w:rPr>
        <w:t xml:space="preserve"> </w:t>
      </w:r>
      <w:r w:rsidRPr="00F76391">
        <w:rPr>
          <w:rFonts w:ascii="Verdana" w:hAnsi="Verdana"/>
        </w:rPr>
        <w:t>Have you faced any obstacles</w:t>
      </w:r>
      <w:r w:rsidR="007369FE" w:rsidRPr="00F76391">
        <w:rPr>
          <w:rFonts w:ascii="Verdana" w:hAnsi="Verdana"/>
        </w:rPr>
        <w:t xml:space="preserve"> in the provision of international telecommunications services</w:t>
      </w:r>
      <w:r w:rsidR="006D5229" w:rsidRPr="00F76391">
        <w:rPr>
          <w:rFonts w:ascii="Verdana" w:hAnsi="Verdana"/>
        </w:rPr>
        <w:t>?</w:t>
      </w:r>
      <w:bookmarkStart w:id="0" w:name="_GoBack"/>
      <w:bookmarkEnd w:id="0"/>
    </w:p>
    <w:p w14:paraId="05D846F8" w14:textId="240AA4F7" w:rsidR="00387F19" w:rsidRPr="00F76391" w:rsidRDefault="00387F19" w:rsidP="00F76391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76391">
        <w:rPr>
          <w:rFonts w:ascii="Verdana" w:hAnsi="Verdana"/>
        </w:rPr>
        <w:t>If yes, please describe the obstacles.</w:t>
      </w:r>
      <w:r w:rsidRPr="00F76391">
        <w:rPr>
          <w:rFonts w:ascii="Verdana" w:hAnsi="Verdana"/>
        </w:rPr>
        <w:tab/>
      </w:r>
    </w:p>
    <w:p w14:paraId="552739F6" w14:textId="47674DE7" w:rsidR="00387F19" w:rsidRPr="00F76391" w:rsidRDefault="00387F19" w:rsidP="00F76391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F76391">
        <w:rPr>
          <w:rFonts w:ascii="Verdana" w:hAnsi="Verdana"/>
        </w:rPr>
        <w:t>If no, please share your view on any reasons why obstacles did not arise.</w:t>
      </w:r>
    </w:p>
    <w:p w14:paraId="4A6B0B2E" w14:textId="352C46F6" w:rsidR="00387F19" w:rsidRPr="00F76391" w:rsidRDefault="00387F19" w:rsidP="00F76391">
      <w:pPr>
        <w:spacing w:line="360" w:lineRule="auto"/>
        <w:ind w:left="1276" w:hanging="567"/>
        <w:jc w:val="both"/>
        <w:rPr>
          <w:rFonts w:ascii="Verdana" w:hAnsi="Verdana"/>
        </w:rPr>
      </w:pPr>
      <w:r w:rsidRPr="006D5229">
        <w:rPr>
          <w:rFonts w:ascii="Verdana" w:hAnsi="Verdana"/>
          <w:b/>
        </w:rPr>
        <w:t>Q</w:t>
      </w:r>
      <w:r w:rsidR="00F76391" w:rsidRPr="006D5229">
        <w:rPr>
          <w:rFonts w:ascii="Verdana" w:hAnsi="Verdana"/>
          <w:b/>
        </w:rPr>
        <w:t>3</w:t>
      </w:r>
      <w:r w:rsidR="006D5229" w:rsidRPr="006D5229">
        <w:rPr>
          <w:rFonts w:ascii="Verdana" w:hAnsi="Verdana"/>
          <w:b/>
        </w:rPr>
        <w:t>:</w:t>
      </w:r>
      <w:r w:rsidRPr="00F76391">
        <w:rPr>
          <w:rFonts w:ascii="Verdana" w:hAnsi="Verdana"/>
        </w:rPr>
        <w:t xml:space="preserve"> What is your opinion regarding whether the 2012 ITRs can fulfil a substantial role in contributing to a rapidly evolving international telecommunication environment, taking into account technology, services and existing multilateral and international legal obligations as well as changes in the scope of domestic regulatory regimes?</w:t>
      </w:r>
    </w:p>
    <w:p w14:paraId="0798B829" w14:textId="03A017E2" w:rsidR="00387F19" w:rsidRDefault="00387F19" w:rsidP="00F76391">
      <w:pPr>
        <w:tabs>
          <w:tab w:val="left" w:pos="5564"/>
        </w:tabs>
        <w:spacing w:line="360" w:lineRule="auto"/>
        <w:ind w:left="720"/>
        <w:rPr>
          <w:b/>
          <w:color w:val="FF0000"/>
          <w:sz w:val="28"/>
          <w:szCs w:val="28"/>
        </w:rPr>
      </w:pPr>
      <w:r w:rsidRPr="006D5229">
        <w:rPr>
          <w:rFonts w:ascii="Verdana" w:hAnsi="Verdana"/>
          <w:b/>
        </w:rPr>
        <w:t>Q</w:t>
      </w:r>
      <w:r w:rsidR="00F76391" w:rsidRPr="006D5229">
        <w:rPr>
          <w:rFonts w:ascii="Verdana" w:hAnsi="Verdana"/>
          <w:b/>
        </w:rPr>
        <w:t>4</w:t>
      </w:r>
      <w:r w:rsidR="006D5229" w:rsidRPr="006D5229">
        <w:rPr>
          <w:rFonts w:ascii="Verdana" w:hAnsi="Verdana"/>
          <w:b/>
        </w:rPr>
        <w:t>:</w:t>
      </w:r>
      <w:r w:rsidRPr="00F76391">
        <w:rPr>
          <w:rFonts w:ascii="Verdana" w:hAnsi="Verdana"/>
        </w:rPr>
        <w:t xml:space="preserve"> </w:t>
      </w:r>
      <w:r w:rsidR="00F76391" w:rsidRPr="00F76391">
        <w:rPr>
          <w:rFonts w:ascii="Verdana" w:hAnsi="Verdana"/>
        </w:rPr>
        <w:t xml:space="preserve">  A</w:t>
      </w:r>
      <w:r w:rsidRPr="00F76391">
        <w:rPr>
          <w:rFonts w:ascii="Verdana" w:hAnsi="Verdana"/>
        </w:rPr>
        <w:t xml:space="preserve">ny </w:t>
      </w:r>
      <w:r w:rsidR="00F76391" w:rsidRPr="00F76391">
        <w:rPr>
          <w:rFonts w:ascii="Verdana" w:hAnsi="Verdana"/>
        </w:rPr>
        <w:t xml:space="preserve">other </w:t>
      </w:r>
      <w:r w:rsidRPr="00F76391">
        <w:rPr>
          <w:rFonts w:ascii="Verdana" w:hAnsi="Verdana"/>
        </w:rPr>
        <w:t>comments.</w:t>
      </w:r>
      <w:r w:rsidRPr="00387F19">
        <w:rPr>
          <w:b/>
          <w:color w:val="FF0000"/>
          <w:sz w:val="28"/>
          <w:szCs w:val="28"/>
        </w:rPr>
        <w:tab/>
      </w:r>
    </w:p>
    <w:p w14:paraId="4014F6F2" w14:textId="7F52802C" w:rsidR="00F76391" w:rsidRDefault="00F76391" w:rsidP="00387F19">
      <w:pPr>
        <w:tabs>
          <w:tab w:val="left" w:pos="5564"/>
        </w:tabs>
        <w:ind w:left="720"/>
        <w:rPr>
          <w:b/>
          <w:color w:val="FF0000"/>
          <w:sz w:val="28"/>
          <w:szCs w:val="28"/>
        </w:rPr>
      </w:pPr>
    </w:p>
    <w:p w14:paraId="1B0C0528" w14:textId="73BAA927" w:rsidR="00F76391" w:rsidRPr="00F76391" w:rsidRDefault="00F76391" w:rsidP="00F76391">
      <w:pPr>
        <w:tabs>
          <w:tab w:val="left" w:pos="5564"/>
        </w:tabs>
        <w:ind w:left="720"/>
        <w:jc w:val="center"/>
        <w:rPr>
          <w:b/>
          <w:sz w:val="28"/>
          <w:szCs w:val="28"/>
        </w:rPr>
      </w:pPr>
      <w:r w:rsidRPr="00F76391">
        <w:rPr>
          <w:b/>
          <w:sz w:val="28"/>
          <w:szCs w:val="28"/>
        </w:rPr>
        <w:t>-END-</w:t>
      </w:r>
    </w:p>
    <w:sectPr w:rsidR="00F76391" w:rsidRPr="00F76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F18A" w14:textId="77777777" w:rsidR="00EF27EC" w:rsidRDefault="00EF27EC" w:rsidP="003B1701">
      <w:pPr>
        <w:spacing w:after="0" w:line="240" w:lineRule="auto"/>
      </w:pPr>
      <w:r>
        <w:separator/>
      </w:r>
    </w:p>
  </w:endnote>
  <w:endnote w:type="continuationSeparator" w:id="0">
    <w:p w14:paraId="23CB6A75" w14:textId="77777777" w:rsidR="00EF27EC" w:rsidRDefault="00EF27EC" w:rsidP="003B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0EEE" w14:textId="77777777" w:rsidR="003B1701" w:rsidRDefault="003B1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C8FD" w14:textId="77777777" w:rsidR="003B1701" w:rsidRDefault="003B1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C2EC" w14:textId="77777777" w:rsidR="003B1701" w:rsidRDefault="003B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55CA" w14:textId="77777777" w:rsidR="00EF27EC" w:rsidRDefault="00EF27EC" w:rsidP="003B1701">
      <w:pPr>
        <w:spacing w:after="0" w:line="240" w:lineRule="auto"/>
      </w:pPr>
      <w:r>
        <w:separator/>
      </w:r>
    </w:p>
  </w:footnote>
  <w:footnote w:type="continuationSeparator" w:id="0">
    <w:p w14:paraId="3FD33E52" w14:textId="77777777" w:rsidR="00EF27EC" w:rsidRDefault="00EF27EC" w:rsidP="003B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96186" w14:textId="77777777" w:rsidR="003B1701" w:rsidRDefault="003B1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D0E9" w14:textId="77777777" w:rsidR="003B1701" w:rsidRDefault="003B1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AE68" w14:textId="77777777" w:rsidR="003B1701" w:rsidRDefault="003B1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4E1"/>
    <w:multiLevelType w:val="hybridMultilevel"/>
    <w:tmpl w:val="11CAB370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05B4D0B"/>
    <w:multiLevelType w:val="hybridMultilevel"/>
    <w:tmpl w:val="70560A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FD"/>
    <w:rsid w:val="002320E8"/>
    <w:rsid w:val="002F3049"/>
    <w:rsid w:val="00304782"/>
    <w:rsid w:val="00387F19"/>
    <w:rsid w:val="003B1701"/>
    <w:rsid w:val="00461449"/>
    <w:rsid w:val="004909BF"/>
    <w:rsid w:val="004E481C"/>
    <w:rsid w:val="00604140"/>
    <w:rsid w:val="006D5229"/>
    <w:rsid w:val="007369FE"/>
    <w:rsid w:val="00814871"/>
    <w:rsid w:val="00840302"/>
    <w:rsid w:val="008A1415"/>
    <w:rsid w:val="00A04DC2"/>
    <w:rsid w:val="00AC38FD"/>
    <w:rsid w:val="00AE3D3B"/>
    <w:rsid w:val="00C961F7"/>
    <w:rsid w:val="00DB1B17"/>
    <w:rsid w:val="00DC44BE"/>
    <w:rsid w:val="00E01FF1"/>
    <w:rsid w:val="00E62AE8"/>
    <w:rsid w:val="00EF27EC"/>
    <w:rsid w:val="00F76391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A5BC5CB"/>
  <w15:chartTrackingRefBased/>
  <w15:docId w15:val="{08E78586-63C0-46C2-AE6C-7A09C011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8FD"/>
    <w:pPr>
      <w:ind w:left="720"/>
      <w:contextualSpacing/>
    </w:pPr>
  </w:style>
  <w:style w:type="table" w:styleId="TableGrid">
    <w:name w:val="Table Grid"/>
    <w:basedOn w:val="TableNormal"/>
    <w:uiPriority w:val="39"/>
    <w:rsid w:val="00AC38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4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82"/>
    <w:rPr>
      <w:rFonts w:ascii="Segoe UI" w:hAnsi="Segoe UI" w:cs="Segoe UI"/>
      <w:sz w:val="18"/>
      <w:szCs w:val="18"/>
    </w:rPr>
  </w:style>
  <w:style w:type="paragraph" w:customStyle="1" w:styleId="dnum">
    <w:name w:val="dnum"/>
    <w:basedOn w:val="Normal"/>
    <w:rsid w:val="00DB1B17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B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01"/>
  </w:style>
  <w:style w:type="paragraph" w:styleId="Footer">
    <w:name w:val="footer"/>
    <w:basedOn w:val="Normal"/>
    <w:link w:val="FooterChar"/>
    <w:uiPriority w:val="99"/>
    <w:unhideWhenUsed/>
    <w:rsid w:val="003B1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01"/>
  </w:style>
  <w:style w:type="character" w:styleId="CommentReference">
    <w:name w:val="annotation reference"/>
    <w:basedOn w:val="DefaultParagraphFont"/>
    <w:uiPriority w:val="99"/>
    <w:semiHidden/>
    <w:unhideWhenUsed/>
    <w:rsid w:val="00736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Bethuel Makola</cp:lastModifiedBy>
  <cp:revision>2</cp:revision>
  <dcterms:created xsi:type="dcterms:W3CDTF">2019-11-05T09:58:00Z</dcterms:created>
  <dcterms:modified xsi:type="dcterms:W3CDTF">2019-11-05T09:58:00Z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Owner">
    <vt:lpwstr>BMakola@icasa.org.za</vt:lpwstr>
  </property>
  <property fmtid="{D5CDD505-2E9C-101B-9397-08002B2CF9AE}" pid="6" name="MSIP_Label_ecd8dc4c-d546-4246-a6d7-53ea0bd0654f_SetDate">
    <vt:lpwstr>2019-09-25T10:23:52.4681285+02:00</vt:lpwstr>
  </property>
  <property fmtid="{D5CDD505-2E9C-101B-9397-08002B2CF9AE}" pid="7" name="MSIP_Label_ecd8dc4c-d546-4246-a6d7-53ea0bd0654f_Name">
    <vt:lpwstr>Unrestricted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