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BA900" w14:textId="11D939E4" w:rsidR="009E3029" w:rsidRPr="00DC1F42" w:rsidRDefault="003E1EFA" w:rsidP="002D12AF">
      <w:pPr>
        <w:widowControl/>
        <w:tabs>
          <w:tab w:val="left" w:pos="8250"/>
        </w:tabs>
        <w:wordWrap/>
        <w:autoSpaceDE/>
        <w:autoSpaceDN/>
        <w:jc w:val="right"/>
        <w:rPr>
          <w:rFonts w:ascii="Calibri" w:hAnsi="Calibri" w:cs="Calibri"/>
          <w:szCs w:val="22"/>
        </w:rPr>
      </w:pPr>
      <w:r w:rsidRPr="00DC1F42">
        <w:rPr>
          <w:rFonts w:ascii="Calibri" w:hAnsi="Calibri" w:cs="Calibri"/>
          <w:szCs w:val="22"/>
        </w:rPr>
        <w:t xml:space="preserve">May </w:t>
      </w:r>
      <w:r w:rsidR="0022362A" w:rsidRPr="00DC1F42">
        <w:rPr>
          <w:rFonts w:ascii="Calibri" w:hAnsi="Calibri" w:cs="Calibri"/>
          <w:szCs w:val="22"/>
        </w:rPr>
        <w:t>30</w:t>
      </w:r>
      <w:r w:rsidRPr="00DC1F42">
        <w:rPr>
          <w:rFonts w:ascii="Calibri" w:hAnsi="Calibri" w:cs="Calibri"/>
          <w:szCs w:val="22"/>
        </w:rPr>
        <w:t>, 2025</w:t>
      </w:r>
    </w:p>
    <w:p w14:paraId="5CB84659" w14:textId="77777777" w:rsidR="002D12AF" w:rsidRDefault="002D12AF" w:rsidP="009E3029">
      <w:pPr>
        <w:widowControl/>
        <w:wordWrap/>
        <w:autoSpaceDE/>
        <w:autoSpaceDN/>
        <w:spacing w:after="0"/>
        <w:rPr>
          <w:rFonts w:ascii="Calibri" w:hAnsi="Calibri" w:cs="Calibri"/>
          <w:b/>
          <w:bCs/>
          <w:szCs w:val="22"/>
        </w:rPr>
      </w:pPr>
    </w:p>
    <w:p w14:paraId="632259AA" w14:textId="558EA762" w:rsidR="00FF2B1B" w:rsidRDefault="00FF2B1B" w:rsidP="009E3029">
      <w:pPr>
        <w:widowControl/>
        <w:wordWrap/>
        <w:autoSpaceDE/>
        <w:autoSpaceDN/>
        <w:spacing w:after="0"/>
        <w:rPr>
          <w:rFonts w:ascii="Calibri" w:hAnsi="Calibri" w:cs="Calibri"/>
          <w:b/>
          <w:bCs/>
          <w:szCs w:val="22"/>
        </w:rPr>
      </w:pPr>
      <w:r w:rsidRPr="00FF2B1B">
        <w:rPr>
          <w:rFonts w:ascii="Calibri" w:hAnsi="Calibri" w:cs="Calibri"/>
          <w:b/>
          <w:bCs/>
          <w:szCs w:val="22"/>
        </w:rPr>
        <w:t>Independent Communications Authority of South Africa</w:t>
      </w:r>
    </w:p>
    <w:p w14:paraId="01D4511C" w14:textId="005D231C" w:rsidR="003E1EFA" w:rsidRPr="00FF2B1B" w:rsidRDefault="00FF2B1B" w:rsidP="009E3029">
      <w:pPr>
        <w:widowControl/>
        <w:wordWrap/>
        <w:autoSpaceDE/>
        <w:autoSpaceDN/>
        <w:spacing w:after="0"/>
        <w:rPr>
          <w:rFonts w:ascii="Calibri" w:hAnsi="Calibri" w:cs="Calibri"/>
          <w:szCs w:val="22"/>
          <w:highlight w:val="yellow"/>
        </w:rPr>
      </w:pPr>
      <w:r w:rsidRPr="00FF2B1B">
        <w:rPr>
          <w:rFonts w:ascii="Calibri" w:hAnsi="Calibri" w:cs="Calibri"/>
          <w:szCs w:val="22"/>
        </w:rPr>
        <w:t xml:space="preserve">Attention: </w:t>
      </w:r>
      <w:proofErr w:type="spellStart"/>
      <w:r w:rsidR="0022362A" w:rsidRPr="00FF2B1B">
        <w:rPr>
          <w:rFonts w:ascii="Calibri" w:hAnsi="Calibri" w:cs="Calibri"/>
          <w:szCs w:val="22"/>
        </w:rPr>
        <w:t>Ms</w:t>
      </w:r>
      <w:proofErr w:type="spellEnd"/>
      <w:r w:rsidR="0022362A" w:rsidRPr="00FF2B1B">
        <w:rPr>
          <w:rFonts w:ascii="Calibri" w:hAnsi="Calibri" w:cs="Calibri"/>
          <w:szCs w:val="22"/>
        </w:rPr>
        <w:t xml:space="preserve"> Pumla Ntshalintshali</w:t>
      </w:r>
    </w:p>
    <w:p w14:paraId="782FBEAB" w14:textId="58125095" w:rsidR="003E1EFA" w:rsidRPr="00FF2B1B" w:rsidRDefault="003E1EFA" w:rsidP="009E3029">
      <w:pPr>
        <w:widowControl/>
        <w:wordWrap/>
        <w:autoSpaceDE/>
        <w:autoSpaceDN/>
        <w:spacing w:after="0"/>
        <w:rPr>
          <w:rFonts w:ascii="Calibri" w:hAnsi="Calibri" w:cs="Calibri"/>
          <w:szCs w:val="22"/>
        </w:rPr>
      </w:pPr>
      <w:r w:rsidRPr="00FF2B1B">
        <w:rPr>
          <w:rFonts w:ascii="Calibri" w:hAnsi="Calibri" w:cs="Calibri"/>
          <w:szCs w:val="22"/>
        </w:rPr>
        <w:t>350 Witch-Hazel Road, Eco-Park; Centurion</w:t>
      </w:r>
    </w:p>
    <w:p w14:paraId="7DDCD48F" w14:textId="77777777" w:rsidR="0022362A" w:rsidRPr="00DC1F42" w:rsidRDefault="0022362A" w:rsidP="009E3029">
      <w:pPr>
        <w:widowControl/>
        <w:wordWrap/>
        <w:autoSpaceDE/>
        <w:autoSpaceDN/>
        <w:spacing w:after="0"/>
        <w:jc w:val="both"/>
        <w:rPr>
          <w:rFonts w:ascii="Calibri" w:hAnsi="Calibri" w:cs="Calibri"/>
          <w:szCs w:val="22"/>
        </w:rPr>
      </w:pPr>
      <w:r w:rsidRPr="00DC1F42">
        <w:rPr>
          <w:rFonts w:ascii="Calibri" w:hAnsi="Calibri" w:cs="Calibri"/>
          <w:szCs w:val="22"/>
        </w:rPr>
        <w:t>South Africa</w:t>
      </w:r>
    </w:p>
    <w:p w14:paraId="1EBE22A0" w14:textId="77777777" w:rsidR="009E3029" w:rsidRPr="00DC1F42" w:rsidRDefault="009E3029" w:rsidP="009E3029">
      <w:pPr>
        <w:widowControl/>
        <w:wordWrap/>
        <w:autoSpaceDE/>
        <w:autoSpaceDN/>
        <w:spacing w:after="0"/>
        <w:jc w:val="both"/>
        <w:rPr>
          <w:rFonts w:ascii="Calibri" w:hAnsi="Calibri" w:cs="Calibri"/>
          <w:szCs w:val="22"/>
        </w:rPr>
      </w:pPr>
    </w:p>
    <w:p w14:paraId="1A870BA4" w14:textId="4CCAF816" w:rsidR="0022362A" w:rsidRPr="00DC1F42" w:rsidRDefault="009E3029" w:rsidP="009E3029">
      <w:pPr>
        <w:widowControl/>
        <w:wordWrap/>
        <w:autoSpaceDE/>
        <w:autoSpaceDN/>
        <w:spacing w:after="0"/>
        <w:jc w:val="both"/>
        <w:rPr>
          <w:rFonts w:ascii="Calibri" w:hAnsi="Calibri" w:cs="Calibri"/>
          <w:szCs w:val="22"/>
        </w:rPr>
      </w:pPr>
      <w:hyperlink r:id="rId8" w:history="1">
        <w:r w:rsidRPr="00DC1F42">
          <w:rPr>
            <w:rStyle w:val="Hyperlink"/>
            <w:rFonts w:ascii="Calibri" w:hAnsi="Calibri" w:cs="Calibri"/>
            <w:szCs w:val="22"/>
          </w:rPr>
          <w:t>DSA2023@icasa.org.za</w:t>
        </w:r>
      </w:hyperlink>
      <w:r w:rsidR="009B43BC" w:rsidRPr="00DC1F42">
        <w:rPr>
          <w:rFonts w:ascii="Calibri" w:hAnsi="Calibri" w:cs="Calibri"/>
          <w:szCs w:val="22"/>
        </w:rPr>
        <w:t xml:space="preserve"> </w:t>
      </w:r>
    </w:p>
    <w:p w14:paraId="0320E334" w14:textId="52872FC2" w:rsidR="009E3029" w:rsidRPr="00DC1F42" w:rsidRDefault="009E3029" w:rsidP="009E3029">
      <w:pPr>
        <w:widowControl/>
        <w:wordWrap/>
        <w:autoSpaceDE/>
        <w:autoSpaceDN/>
        <w:spacing w:after="0"/>
        <w:jc w:val="both"/>
        <w:rPr>
          <w:rFonts w:ascii="Calibri" w:hAnsi="Calibri" w:cs="Calibri"/>
          <w:szCs w:val="22"/>
        </w:rPr>
      </w:pPr>
      <w:r w:rsidRPr="00DC1F42">
        <w:rPr>
          <w:rFonts w:ascii="Calibri" w:hAnsi="Calibri" w:cs="Calibri"/>
          <w:szCs w:val="22"/>
        </w:rPr>
        <w:t xml:space="preserve">CC: </w:t>
      </w:r>
      <w:hyperlink r:id="rId9" w:history="1">
        <w:r w:rsidRPr="00DC1F42">
          <w:rPr>
            <w:rStyle w:val="Hyperlink"/>
            <w:rFonts w:ascii="Calibri" w:hAnsi="Calibri" w:cs="Calibri"/>
            <w:szCs w:val="22"/>
          </w:rPr>
          <w:t>PNtshalintshali@icasa.org.za</w:t>
        </w:r>
      </w:hyperlink>
      <w:r w:rsidRPr="00DC1F42">
        <w:rPr>
          <w:rFonts w:ascii="Calibri" w:hAnsi="Calibri" w:cs="Calibri"/>
          <w:szCs w:val="22"/>
        </w:rPr>
        <w:t xml:space="preserve"> </w:t>
      </w:r>
    </w:p>
    <w:p w14:paraId="66D6DE10" w14:textId="332EEFBA" w:rsidR="009E3029" w:rsidRPr="00DC1F42" w:rsidRDefault="009E3029" w:rsidP="009E3029">
      <w:pPr>
        <w:widowControl/>
        <w:wordWrap/>
        <w:autoSpaceDE/>
        <w:autoSpaceDN/>
        <w:spacing w:after="0"/>
        <w:jc w:val="both"/>
        <w:rPr>
          <w:rFonts w:ascii="Calibri" w:hAnsi="Calibri" w:cs="Calibri"/>
          <w:szCs w:val="22"/>
        </w:rPr>
      </w:pPr>
      <w:r w:rsidRPr="00DC1F42">
        <w:rPr>
          <w:rFonts w:ascii="Calibri" w:hAnsi="Calibri" w:cs="Calibri"/>
          <w:szCs w:val="22"/>
        </w:rPr>
        <w:t xml:space="preserve">CC: </w:t>
      </w:r>
      <w:hyperlink r:id="rId10" w:history="1">
        <w:r w:rsidRPr="00DC1F42">
          <w:rPr>
            <w:rStyle w:val="Hyperlink"/>
            <w:rFonts w:ascii="Calibri" w:hAnsi="Calibri" w:cs="Calibri"/>
            <w:szCs w:val="22"/>
          </w:rPr>
          <w:t>rmakgotlho@icasa.org.za</w:t>
        </w:r>
      </w:hyperlink>
      <w:r w:rsidRPr="00DC1F42">
        <w:rPr>
          <w:rFonts w:ascii="Calibri" w:hAnsi="Calibri" w:cs="Calibri"/>
          <w:szCs w:val="22"/>
        </w:rPr>
        <w:t xml:space="preserve"> </w:t>
      </w:r>
    </w:p>
    <w:p w14:paraId="0A6F15D8" w14:textId="77777777" w:rsidR="00801C75" w:rsidRDefault="003E1EFA" w:rsidP="003E1EFA">
      <w:pPr>
        <w:widowControl/>
        <w:wordWrap/>
        <w:autoSpaceDE/>
        <w:autoSpaceDN/>
        <w:jc w:val="both"/>
        <w:rPr>
          <w:rFonts w:ascii="Calibri" w:hAnsi="Calibri" w:cs="Calibri"/>
          <w:b/>
          <w:bCs/>
          <w:szCs w:val="22"/>
        </w:rPr>
      </w:pPr>
      <w:r w:rsidRPr="00DC1F42">
        <w:rPr>
          <w:rFonts w:ascii="Calibri" w:hAnsi="Calibri" w:cs="Calibri"/>
          <w:b/>
          <w:bCs/>
          <w:szCs w:val="22"/>
        </w:rPr>
        <w:cr/>
      </w:r>
    </w:p>
    <w:p w14:paraId="4FDC2929" w14:textId="6359E33A" w:rsidR="0020734D" w:rsidRPr="00DC1F42" w:rsidRDefault="00DC1F42" w:rsidP="003E1EFA">
      <w:pPr>
        <w:widowControl/>
        <w:wordWrap/>
        <w:autoSpaceDE/>
        <w:autoSpaceDN/>
        <w:jc w:val="both"/>
        <w:rPr>
          <w:rFonts w:ascii="Calibri" w:hAnsi="Calibri" w:cs="Calibri"/>
          <w:b/>
          <w:bCs/>
          <w:szCs w:val="22"/>
        </w:rPr>
      </w:pPr>
      <w:r w:rsidRPr="00DC1F42">
        <w:rPr>
          <w:rFonts w:ascii="Calibri" w:hAnsi="Calibri" w:cs="Calibri"/>
          <w:b/>
          <w:bCs/>
          <w:szCs w:val="22"/>
        </w:rPr>
        <w:t>Re:</w:t>
      </w:r>
      <w:r w:rsidR="0020734D" w:rsidRPr="00DC1F42">
        <w:rPr>
          <w:rFonts w:ascii="Calibri" w:hAnsi="Calibri" w:cs="Calibri"/>
          <w:b/>
          <w:bCs/>
          <w:szCs w:val="22"/>
        </w:rPr>
        <w:t xml:space="preserve"> DRAFT REGULATIONS ON DYNAMIC SPECTRUM ACCESS AND OPPORTUNISTIC SPECTRUM MANAGEMENT IN THE INNOVATION SPECTRUM 3800 - 4200 MHz AND 5925 – 6425 MHz</w:t>
      </w:r>
    </w:p>
    <w:p w14:paraId="2437B136" w14:textId="77777777" w:rsidR="00801C75" w:rsidRDefault="00801C75" w:rsidP="003E1EFA">
      <w:pPr>
        <w:widowControl/>
        <w:wordWrap/>
        <w:autoSpaceDE/>
        <w:autoSpaceDN/>
        <w:jc w:val="both"/>
        <w:rPr>
          <w:rFonts w:ascii="Calibri" w:hAnsi="Calibri" w:cs="Calibri"/>
          <w:b/>
          <w:bCs/>
          <w:szCs w:val="22"/>
        </w:rPr>
      </w:pPr>
    </w:p>
    <w:p w14:paraId="300885CD" w14:textId="3C971BCB" w:rsidR="0020734D" w:rsidRPr="00801C75" w:rsidRDefault="00801C75" w:rsidP="003E1EFA">
      <w:pPr>
        <w:widowControl/>
        <w:wordWrap/>
        <w:autoSpaceDE/>
        <w:autoSpaceDN/>
        <w:jc w:val="both"/>
        <w:rPr>
          <w:rFonts w:ascii="Calibri" w:hAnsi="Calibri" w:cs="Calibri"/>
          <w:szCs w:val="22"/>
        </w:rPr>
      </w:pPr>
      <w:r w:rsidRPr="00801C75">
        <w:rPr>
          <w:rFonts w:ascii="Calibri" w:hAnsi="Calibri" w:cs="Calibri"/>
          <w:szCs w:val="22"/>
        </w:rPr>
        <w:t xml:space="preserve">Dear </w:t>
      </w:r>
      <w:proofErr w:type="spellStart"/>
      <w:r w:rsidRPr="00801C75">
        <w:rPr>
          <w:rFonts w:ascii="Calibri" w:hAnsi="Calibri" w:cs="Calibri"/>
          <w:szCs w:val="22"/>
        </w:rPr>
        <w:t>Ms</w:t>
      </w:r>
      <w:proofErr w:type="spellEnd"/>
      <w:r w:rsidRPr="00801C75">
        <w:rPr>
          <w:rFonts w:ascii="Calibri" w:hAnsi="Calibri" w:cs="Calibri"/>
          <w:szCs w:val="22"/>
        </w:rPr>
        <w:t xml:space="preserve"> Ntshalintshali,</w:t>
      </w:r>
    </w:p>
    <w:p w14:paraId="0334CDDB" w14:textId="77777777" w:rsidR="00DC1F42" w:rsidRDefault="003253AE" w:rsidP="003253AE">
      <w:pPr>
        <w:jc w:val="both"/>
        <w:rPr>
          <w:rFonts w:ascii="Calibri" w:hAnsi="Calibri" w:cs="Calibri"/>
          <w:szCs w:val="22"/>
        </w:rPr>
      </w:pPr>
      <w:r w:rsidRPr="00DC1F42">
        <w:rPr>
          <w:rFonts w:ascii="Calibri" w:hAnsi="Calibri" w:cs="Calibri"/>
          <w:szCs w:val="22"/>
        </w:rPr>
        <w:t>The Dynamic Spectrum Alliance</w:t>
      </w:r>
      <w:r w:rsidR="003E1EFA" w:rsidRPr="00DC1F42">
        <w:rPr>
          <w:rStyle w:val="FootnoteReference"/>
          <w:rFonts w:ascii="Calibri" w:hAnsi="Calibri" w:cs="Calibri"/>
          <w:szCs w:val="22"/>
        </w:rPr>
        <w:footnoteReference w:id="1"/>
      </w:r>
      <w:r w:rsidRPr="00DC1F42">
        <w:rPr>
          <w:rFonts w:ascii="Calibri" w:hAnsi="Calibri" w:cs="Calibri"/>
          <w:szCs w:val="22"/>
        </w:rPr>
        <w:t xml:space="preserve"> (DSA) appreciates the opportunity to submit these comments in response to ICASA’s draft regulations on dynamic spectrum access</w:t>
      </w:r>
      <w:r w:rsidR="009E3029" w:rsidRPr="00DC1F42">
        <w:rPr>
          <w:rFonts w:ascii="Calibri" w:hAnsi="Calibri" w:cs="Calibri"/>
          <w:szCs w:val="22"/>
        </w:rPr>
        <w:t xml:space="preserve"> and opportunistic spectrum management </w:t>
      </w:r>
      <w:r w:rsidRPr="00DC1F42">
        <w:rPr>
          <w:rFonts w:ascii="Calibri" w:hAnsi="Calibri" w:cs="Calibri"/>
          <w:szCs w:val="22"/>
        </w:rPr>
        <w:t>in the 3</w:t>
      </w:r>
      <w:r w:rsidR="00973664" w:rsidRPr="00DC1F42">
        <w:rPr>
          <w:rFonts w:ascii="Calibri" w:hAnsi="Calibri" w:cs="Calibri"/>
          <w:szCs w:val="22"/>
        </w:rPr>
        <w:t>800</w:t>
      </w:r>
      <w:r w:rsidRPr="00DC1F42">
        <w:rPr>
          <w:rFonts w:ascii="Calibri" w:hAnsi="Calibri" w:cs="Calibri"/>
          <w:szCs w:val="22"/>
        </w:rPr>
        <w:t>–4</w:t>
      </w:r>
      <w:r w:rsidR="00973664" w:rsidRPr="00DC1F42">
        <w:rPr>
          <w:rFonts w:ascii="Calibri" w:hAnsi="Calibri" w:cs="Calibri"/>
          <w:szCs w:val="22"/>
        </w:rPr>
        <w:t>200</w:t>
      </w:r>
      <w:r w:rsidRPr="00DC1F42">
        <w:rPr>
          <w:rFonts w:ascii="Calibri" w:hAnsi="Calibri" w:cs="Calibri"/>
          <w:szCs w:val="22"/>
        </w:rPr>
        <w:t xml:space="preserve"> </w:t>
      </w:r>
      <w:r w:rsidR="00973664" w:rsidRPr="00DC1F42">
        <w:rPr>
          <w:rFonts w:ascii="Calibri" w:hAnsi="Calibri" w:cs="Calibri"/>
          <w:szCs w:val="22"/>
        </w:rPr>
        <w:t>M</w:t>
      </w:r>
      <w:r w:rsidRPr="00DC1F42">
        <w:rPr>
          <w:rFonts w:ascii="Calibri" w:hAnsi="Calibri" w:cs="Calibri"/>
          <w:szCs w:val="22"/>
        </w:rPr>
        <w:t xml:space="preserve">Hz and </w:t>
      </w:r>
      <w:r w:rsidR="00973664" w:rsidRPr="00DC1F42">
        <w:rPr>
          <w:rFonts w:ascii="Calibri" w:hAnsi="Calibri" w:cs="Calibri"/>
          <w:szCs w:val="22"/>
        </w:rPr>
        <w:t>5925-6425</w:t>
      </w:r>
      <w:r w:rsidRPr="00DC1F42">
        <w:rPr>
          <w:rFonts w:ascii="Calibri" w:hAnsi="Calibri" w:cs="Calibri"/>
          <w:szCs w:val="22"/>
        </w:rPr>
        <w:t xml:space="preserve"> </w:t>
      </w:r>
      <w:r w:rsidR="00973664" w:rsidRPr="00DC1F42">
        <w:rPr>
          <w:rFonts w:ascii="Calibri" w:hAnsi="Calibri" w:cs="Calibri"/>
          <w:szCs w:val="22"/>
        </w:rPr>
        <w:t>M</w:t>
      </w:r>
      <w:r w:rsidRPr="00DC1F42">
        <w:rPr>
          <w:rFonts w:ascii="Calibri" w:hAnsi="Calibri" w:cs="Calibri"/>
          <w:szCs w:val="22"/>
        </w:rPr>
        <w:t xml:space="preserve">Hz frequency bands. </w:t>
      </w:r>
    </w:p>
    <w:p w14:paraId="69E041CF" w14:textId="267C6BFC" w:rsidR="00DC1F42" w:rsidRDefault="00973664" w:rsidP="003253AE">
      <w:pPr>
        <w:jc w:val="both"/>
        <w:rPr>
          <w:rFonts w:ascii="Calibri" w:hAnsi="Calibri" w:cs="Calibri"/>
          <w:szCs w:val="22"/>
        </w:rPr>
      </w:pPr>
      <w:r w:rsidRPr="00DC1F42">
        <w:rPr>
          <w:rFonts w:ascii="Calibri" w:hAnsi="Calibri" w:cs="Calibri"/>
          <w:szCs w:val="22"/>
        </w:rPr>
        <w:t>The DSA</w:t>
      </w:r>
      <w:r w:rsidR="003253AE" w:rsidRPr="00DC1F42">
        <w:rPr>
          <w:rFonts w:ascii="Calibri" w:hAnsi="Calibri" w:cs="Calibri"/>
          <w:szCs w:val="22"/>
        </w:rPr>
        <w:t xml:space="preserve"> commend</w:t>
      </w:r>
      <w:r w:rsidR="009E3029" w:rsidRPr="00DC1F42">
        <w:rPr>
          <w:rFonts w:ascii="Calibri" w:hAnsi="Calibri" w:cs="Calibri"/>
          <w:szCs w:val="22"/>
        </w:rPr>
        <w:t>s</w:t>
      </w:r>
      <w:r w:rsidR="003253AE" w:rsidRPr="00DC1F42">
        <w:rPr>
          <w:rFonts w:ascii="Calibri" w:hAnsi="Calibri" w:cs="Calibri"/>
          <w:szCs w:val="22"/>
        </w:rPr>
        <w:t xml:space="preserve"> ICASA’s forward-looking approach to </w:t>
      </w:r>
      <w:r w:rsidR="00FF2B1B">
        <w:rPr>
          <w:rFonts w:ascii="Calibri" w:hAnsi="Calibri" w:cs="Calibri"/>
          <w:szCs w:val="22"/>
        </w:rPr>
        <w:t xml:space="preserve">bridging the digital divide by </w:t>
      </w:r>
      <w:r w:rsidR="003253AE" w:rsidRPr="00DC1F42">
        <w:rPr>
          <w:rFonts w:ascii="Calibri" w:hAnsi="Calibri" w:cs="Calibri"/>
          <w:szCs w:val="22"/>
        </w:rPr>
        <w:t xml:space="preserve">enabling </w:t>
      </w:r>
      <w:r w:rsidR="009E3029" w:rsidRPr="00DC1F42">
        <w:rPr>
          <w:rFonts w:ascii="Calibri" w:hAnsi="Calibri" w:cs="Calibri"/>
          <w:szCs w:val="22"/>
        </w:rPr>
        <w:t xml:space="preserve">new opportunities for </w:t>
      </w:r>
      <w:r w:rsidR="003253AE" w:rsidRPr="00DC1F42">
        <w:rPr>
          <w:rFonts w:ascii="Calibri" w:hAnsi="Calibri" w:cs="Calibri"/>
          <w:szCs w:val="22"/>
        </w:rPr>
        <w:t>shared spectrum access</w:t>
      </w:r>
      <w:r w:rsidR="009E3029" w:rsidRPr="00DC1F42">
        <w:rPr>
          <w:rFonts w:ascii="Calibri" w:hAnsi="Calibri" w:cs="Calibri"/>
          <w:szCs w:val="22"/>
        </w:rPr>
        <w:t xml:space="preserve"> in South Africa</w:t>
      </w:r>
      <w:r w:rsidR="00DC1F42">
        <w:rPr>
          <w:rFonts w:ascii="Calibri" w:hAnsi="Calibri" w:cs="Calibri"/>
          <w:szCs w:val="22"/>
        </w:rPr>
        <w:t>. We support the</w:t>
      </w:r>
      <w:r w:rsidR="00801C75">
        <w:rPr>
          <w:rFonts w:ascii="Calibri" w:hAnsi="Calibri" w:cs="Calibri"/>
          <w:szCs w:val="22"/>
        </w:rPr>
        <w:t xml:space="preserve"> timely </w:t>
      </w:r>
      <w:r w:rsidR="00DC1F42">
        <w:rPr>
          <w:rFonts w:ascii="Calibri" w:hAnsi="Calibri" w:cs="Calibri"/>
          <w:szCs w:val="22"/>
        </w:rPr>
        <w:t>adoption of the</w:t>
      </w:r>
      <w:r w:rsidR="00801C75">
        <w:rPr>
          <w:rFonts w:ascii="Calibri" w:hAnsi="Calibri" w:cs="Calibri"/>
          <w:szCs w:val="22"/>
        </w:rPr>
        <w:t xml:space="preserve"> proposed</w:t>
      </w:r>
      <w:r w:rsidR="00DC1F42">
        <w:rPr>
          <w:rFonts w:ascii="Calibri" w:hAnsi="Calibri" w:cs="Calibri"/>
          <w:szCs w:val="22"/>
        </w:rPr>
        <w:t xml:space="preserve"> </w:t>
      </w:r>
      <w:r w:rsidR="00FF2B1B">
        <w:rPr>
          <w:rFonts w:ascii="Calibri" w:hAnsi="Calibri" w:cs="Calibri"/>
          <w:szCs w:val="22"/>
        </w:rPr>
        <w:t>r</w:t>
      </w:r>
      <w:r w:rsidR="00DC1F42">
        <w:rPr>
          <w:rFonts w:ascii="Calibri" w:hAnsi="Calibri" w:cs="Calibri"/>
          <w:szCs w:val="22"/>
        </w:rPr>
        <w:t>egulations</w:t>
      </w:r>
      <w:r w:rsidR="00801C75">
        <w:rPr>
          <w:rFonts w:ascii="Calibri" w:hAnsi="Calibri" w:cs="Calibri"/>
          <w:szCs w:val="22"/>
        </w:rPr>
        <w:t>, which</w:t>
      </w:r>
      <w:r w:rsidR="00DC1F42">
        <w:rPr>
          <w:rFonts w:ascii="Calibri" w:hAnsi="Calibri" w:cs="Calibri"/>
          <w:szCs w:val="22"/>
        </w:rPr>
        <w:t xml:space="preserve"> represent a significant step toward more efficient</w:t>
      </w:r>
      <w:r w:rsidR="00801C75">
        <w:rPr>
          <w:rFonts w:ascii="Calibri" w:hAnsi="Calibri" w:cs="Calibri"/>
          <w:szCs w:val="22"/>
        </w:rPr>
        <w:t>, inclusive</w:t>
      </w:r>
      <w:r w:rsidR="00DC1F42">
        <w:rPr>
          <w:rFonts w:ascii="Calibri" w:hAnsi="Calibri" w:cs="Calibri"/>
          <w:szCs w:val="22"/>
        </w:rPr>
        <w:t xml:space="preserve"> and innovative spectrum use. </w:t>
      </w:r>
    </w:p>
    <w:p w14:paraId="5DC29705" w14:textId="56CA31BC" w:rsidR="003253AE" w:rsidRPr="00DC1F42" w:rsidRDefault="009E3029" w:rsidP="003253AE">
      <w:pPr>
        <w:jc w:val="both"/>
        <w:rPr>
          <w:rFonts w:ascii="Calibri" w:hAnsi="Calibri" w:cs="Calibri"/>
          <w:szCs w:val="22"/>
        </w:rPr>
      </w:pPr>
      <w:r w:rsidRPr="00DC1F42">
        <w:rPr>
          <w:rFonts w:ascii="Calibri" w:hAnsi="Calibri" w:cs="Calibri"/>
          <w:szCs w:val="22"/>
        </w:rPr>
        <w:t xml:space="preserve">Our comments </w:t>
      </w:r>
      <w:r w:rsidR="003123F6">
        <w:rPr>
          <w:rFonts w:ascii="Calibri" w:hAnsi="Calibri" w:cs="Calibri"/>
          <w:szCs w:val="22"/>
        </w:rPr>
        <w:t>are intended to</w:t>
      </w:r>
      <w:r w:rsidR="00DC1F42">
        <w:rPr>
          <w:rFonts w:ascii="Calibri" w:hAnsi="Calibri" w:cs="Calibri"/>
          <w:szCs w:val="22"/>
        </w:rPr>
        <w:t xml:space="preserve"> offer constructive </w:t>
      </w:r>
      <w:r w:rsidRPr="00DC1F42">
        <w:rPr>
          <w:rFonts w:ascii="Calibri" w:hAnsi="Calibri" w:cs="Calibri"/>
          <w:szCs w:val="22"/>
        </w:rPr>
        <w:t xml:space="preserve">recommendations </w:t>
      </w:r>
      <w:r w:rsidR="00DC1F42">
        <w:rPr>
          <w:rFonts w:ascii="Calibri" w:hAnsi="Calibri" w:cs="Calibri"/>
          <w:szCs w:val="22"/>
        </w:rPr>
        <w:t xml:space="preserve">to help ensure </w:t>
      </w:r>
      <w:r w:rsidR="00DC1F42" w:rsidRPr="00DC1F42">
        <w:rPr>
          <w:rFonts w:ascii="Calibri" w:hAnsi="Calibri" w:cs="Calibri"/>
          <w:szCs w:val="22"/>
        </w:rPr>
        <w:t xml:space="preserve">the </w:t>
      </w:r>
      <w:r w:rsidR="003253AE" w:rsidRPr="00DC1F42">
        <w:rPr>
          <w:rFonts w:ascii="Calibri" w:hAnsi="Calibri" w:cs="Calibri"/>
          <w:szCs w:val="22"/>
        </w:rPr>
        <w:t xml:space="preserve">framework </w:t>
      </w:r>
      <w:r w:rsidR="00DC1F42">
        <w:rPr>
          <w:rFonts w:ascii="Calibri" w:hAnsi="Calibri" w:cs="Calibri"/>
          <w:szCs w:val="22"/>
        </w:rPr>
        <w:t>is</w:t>
      </w:r>
      <w:r w:rsidR="00DC1F42" w:rsidRPr="00DC1F42">
        <w:rPr>
          <w:rFonts w:ascii="Calibri" w:hAnsi="Calibri" w:cs="Calibri"/>
          <w:szCs w:val="22"/>
        </w:rPr>
        <w:t xml:space="preserve"> </w:t>
      </w:r>
      <w:r w:rsidR="003253AE" w:rsidRPr="00DC1F42">
        <w:rPr>
          <w:rFonts w:ascii="Calibri" w:hAnsi="Calibri" w:cs="Calibri"/>
          <w:szCs w:val="22"/>
        </w:rPr>
        <w:t xml:space="preserve">practical, investment-friendly, and </w:t>
      </w:r>
      <w:r w:rsidR="00DC1F42">
        <w:rPr>
          <w:rFonts w:ascii="Calibri" w:hAnsi="Calibri" w:cs="Calibri"/>
          <w:szCs w:val="22"/>
        </w:rPr>
        <w:t xml:space="preserve">aligned </w:t>
      </w:r>
      <w:r w:rsidR="003253AE" w:rsidRPr="00DC1F42">
        <w:rPr>
          <w:rFonts w:ascii="Calibri" w:hAnsi="Calibri" w:cs="Calibri"/>
          <w:szCs w:val="22"/>
        </w:rPr>
        <w:t>with international best practices.</w:t>
      </w:r>
    </w:p>
    <w:p w14:paraId="7E03FBC2" w14:textId="1F224103" w:rsidR="003253AE" w:rsidRDefault="003123F6" w:rsidP="003253AE">
      <w:pPr>
        <w:jc w:val="both"/>
        <w:rPr>
          <w:rFonts w:ascii="Calibri" w:hAnsi="Calibri" w:cs="Calibri"/>
          <w:szCs w:val="22"/>
        </w:rPr>
      </w:pPr>
      <w:r>
        <w:rPr>
          <w:rFonts w:ascii="Calibri" w:hAnsi="Calibri" w:cs="Calibri"/>
          <w:szCs w:val="22"/>
        </w:rPr>
        <w:t>Drawing on our global experience with dynamic spectrum access frameworks, the DSA r</w:t>
      </w:r>
      <w:r w:rsidR="00DC1F42">
        <w:rPr>
          <w:rFonts w:ascii="Calibri" w:hAnsi="Calibri" w:cs="Calibri"/>
          <w:szCs w:val="22"/>
        </w:rPr>
        <w:t>emain</w:t>
      </w:r>
      <w:r>
        <w:rPr>
          <w:rFonts w:ascii="Calibri" w:hAnsi="Calibri" w:cs="Calibri"/>
          <w:szCs w:val="22"/>
        </w:rPr>
        <w:t>s</w:t>
      </w:r>
      <w:r w:rsidR="00DC1F42">
        <w:rPr>
          <w:rFonts w:ascii="Calibri" w:hAnsi="Calibri" w:cs="Calibri"/>
          <w:szCs w:val="22"/>
        </w:rPr>
        <w:t xml:space="preserve"> committed to collaborating with ICASA and </w:t>
      </w:r>
      <w:r>
        <w:rPr>
          <w:rFonts w:ascii="Calibri" w:hAnsi="Calibri" w:cs="Calibri"/>
          <w:szCs w:val="22"/>
        </w:rPr>
        <w:t xml:space="preserve">stands ready to </w:t>
      </w:r>
      <w:r w:rsidR="00DC1F42">
        <w:rPr>
          <w:rFonts w:ascii="Calibri" w:hAnsi="Calibri" w:cs="Calibri"/>
          <w:szCs w:val="22"/>
        </w:rPr>
        <w:t>provid</w:t>
      </w:r>
      <w:r>
        <w:rPr>
          <w:rFonts w:ascii="Calibri" w:hAnsi="Calibri" w:cs="Calibri"/>
          <w:szCs w:val="22"/>
        </w:rPr>
        <w:t>e</w:t>
      </w:r>
      <w:r w:rsidR="00DC1F42">
        <w:rPr>
          <w:rFonts w:ascii="Calibri" w:hAnsi="Calibri" w:cs="Calibri"/>
          <w:szCs w:val="22"/>
        </w:rPr>
        <w:t xml:space="preserve"> </w:t>
      </w:r>
      <w:r>
        <w:rPr>
          <w:rFonts w:ascii="Calibri" w:hAnsi="Calibri" w:cs="Calibri"/>
          <w:szCs w:val="22"/>
        </w:rPr>
        <w:t xml:space="preserve">any additional </w:t>
      </w:r>
      <w:r w:rsidR="00DC1F42">
        <w:rPr>
          <w:rFonts w:ascii="Calibri" w:hAnsi="Calibri" w:cs="Calibri"/>
          <w:szCs w:val="22"/>
        </w:rPr>
        <w:t>information</w:t>
      </w:r>
      <w:r>
        <w:rPr>
          <w:rFonts w:ascii="Calibri" w:hAnsi="Calibri" w:cs="Calibri"/>
          <w:szCs w:val="22"/>
        </w:rPr>
        <w:t xml:space="preserve"> or support</w:t>
      </w:r>
      <w:r w:rsidR="00DC1F42">
        <w:rPr>
          <w:rFonts w:ascii="Calibri" w:hAnsi="Calibri" w:cs="Calibri"/>
          <w:szCs w:val="22"/>
        </w:rPr>
        <w:t xml:space="preserve"> </w:t>
      </w:r>
      <w:r>
        <w:rPr>
          <w:rFonts w:ascii="Calibri" w:hAnsi="Calibri" w:cs="Calibri"/>
          <w:szCs w:val="22"/>
        </w:rPr>
        <w:t>that might be required.</w:t>
      </w:r>
    </w:p>
    <w:p w14:paraId="51AE7E93" w14:textId="67ADF441" w:rsidR="0022362A" w:rsidRPr="00DC1F42" w:rsidRDefault="0022362A" w:rsidP="0022362A">
      <w:pPr>
        <w:tabs>
          <w:tab w:val="left" w:pos="3553"/>
        </w:tabs>
        <w:jc w:val="both"/>
        <w:rPr>
          <w:rFonts w:ascii="Calibri" w:hAnsi="Calibri" w:cs="Calibri"/>
          <w:szCs w:val="22"/>
        </w:rPr>
      </w:pPr>
      <w:r w:rsidRPr="00DC1F42">
        <w:rPr>
          <w:rFonts w:ascii="Calibri" w:hAnsi="Calibri" w:cs="Calibri"/>
          <w:szCs w:val="22"/>
        </w:rPr>
        <w:t>Sincerely,</w:t>
      </w:r>
      <w:r w:rsidRPr="00DC1F42">
        <w:rPr>
          <w:rFonts w:ascii="Calibri" w:hAnsi="Calibri" w:cs="Calibri"/>
          <w:szCs w:val="22"/>
        </w:rPr>
        <w:tab/>
      </w:r>
    </w:p>
    <w:p w14:paraId="62B216D2" w14:textId="77777777" w:rsidR="00DC1F42" w:rsidRPr="00DC1F42" w:rsidRDefault="00DC1F42" w:rsidP="0022362A">
      <w:pPr>
        <w:rPr>
          <w:rFonts w:ascii="Calibri" w:hAnsi="Calibri" w:cs="Calibri"/>
          <w:szCs w:val="22"/>
        </w:rPr>
      </w:pPr>
    </w:p>
    <w:p w14:paraId="1A2C12D6" w14:textId="5FA4282C" w:rsidR="0022362A" w:rsidRPr="00DC1F42" w:rsidRDefault="00DC778E" w:rsidP="0022362A">
      <w:pPr>
        <w:tabs>
          <w:tab w:val="center" w:pos="5040"/>
        </w:tabs>
        <w:spacing w:after="0"/>
        <w:rPr>
          <w:rFonts w:ascii="Calibri" w:hAnsi="Calibri" w:cs="Calibri"/>
          <w:szCs w:val="22"/>
        </w:rPr>
      </w:pPr>
      <w:r w:rsidRPr="00DC778E">
        <w:rPr>
          <w:rFonts w:ascii="Calibri" w:hAnsi="Calibri" w:cs="Calibri"/>
          <w:i/>
          <w:iCs/>
          <w:szCs w:val="22"/>
        </w:rPr>
        <w:t>s/.</w:t>
      </w:r>
      <w:r>
        <w:rPr>
          <w:rFonts w:ascii="Calibri" w:hAnsi="Calibri" w:cs="Calibri"/>
          <w:szCs w:val="22"/>
        </w:rPr>
        <w:t xml:space="preserve"> </w:t>
      </w:r>
      <w:r w:rsidR="00DC1F42">
        <w:rPr>
          <w:rFonts w:ascii="Calibri" w:hAnsi="Calibri" w:cs="Calibri"/>
          <w:szCs w:val="22"/>
        </w:rPr>
        <w:t xml:space="preserve">Dr </w:t>
      </w:r>
      <w:r w:rsidR="0022362A" w:rsidRPr="00DC1F42">
        <w:rPr>
          <w:rFonts w:ascii="Calibri" w:hAnsi="Calibri" w:cs="Calibri"/>
          <w:szCs w:val="22"/>
        </w:rPr>
        <w:t>Martha SUAREZ</w:t>
      </w:r>
      <w:r w:rsidR="0022362A" w:rsidRPr="00DC1F42">
        <w:rPr>
          <w:rFonts w:ascii="Calibri" w:hAnsi="Calibri" w:cs="Calibri"/>
          <w:szCs w:val="22"/>
        </w:rPr>
        <w:tab/>
      </w:r>
    </w:p>
    <w:p w14:paraId="27DB6865" w14:textId="77777777" w:rsidR="0022362A" w:rsidRPr="00DC1F42" w:rsidRDefault="0022362A" w:rsidP="0022362A">
      <w:pPr>
        <w:spacing w:after="0"/>
        <w:rPr>
          <w:rFonts w:ascii="Calibri" w:hAnsi="Calibri" w:cs="Calibri"/>
          <w:szCs w:val="22"/>
        </w:rPr>
      </w:pPr>
      <w:r w:rsidRPr="00DC1F42">
        <w:rPr>
          <w:rFonts w:ascii="Calibri" w:hAnsi="Calibri" w:cs="Calibri"/>
          <w:szCs w:val="22"/>
        </w:rPr>
        <w:t>President</w:t>
      </w:r>
    </w:p>
    <w:p w14:paraId="2740BD90" w14:textId="77777777" w:rsidR="0022362A" w:rsidRPr="00DC1F42" w:rsidRDefault="0022362A" w:rsidP="0022362A">
      <w:pPr>
        <w:spacing w:after="0"/>
        <w:rPr>
          <w:rFonts w:ascii="Calibri" w:hAnsi="Calibri" w:cs="Calibri"/>
          <w:szCs w:val="22"/>
        </w:rPr>
      </w:pPr>
      <w:r w:rsidRPr="00DC1F42">
        <w:rPr>
          <w:rFonts w:ascii="Calibri" w:hAnsi="Calibri" w:cs="Calibri"/>
          <w:szCs w:val="22"/>
        </w:rPr>
        <w:t xml:space="preserve">Dynamic Spectrum Alliance </w:t>
      </w:r>
    </w:p>
    <w:p w14:paraId="7E99A723" w14:textId="77777777" w:rsidR="002D12AF" w:rsidRDefault="002D12AF" w:rsidP="002D12AF">
      <w:pPr>
        <w:spacing w:after="0"/>
        <w:jc w:val="center"/>
        <w:rPr>
          <w:rFonts w:ascii="Calibri" w:hAnsi="Calibri" w:cs="Calibri"/>
          <w:b/>
          <w:bCs/>
        </w:rPr>
      </w:pPr>
    </w:p>
    <w:p w14:paraId="6D00EB20" w14:textId="28206A45" w:rsidR="0022362A" w:rsidRDefault="00DC1F42" w:rsidP="00DC1F42">
      <w:pPr>
        <w:jc w:val="center"/>
        <w:rPr>
          <w:rFonts w:ascii="Calibri" w:hAnsi="Calibri" w:cs="Calibri"/>
          <w:b/>
          <w:bCs/>
        </w:rPr>
      </w:pPr>
      <w:r w:rsidRPr="00DC1F42">
        <w:rPr>
          <w:rFonts w:ascii="Calibri" w:hAnsi="Calibri" w:cs="Calibri"/>
          <w:b/>
          <w:bCs/>
        </w:rPr>
        <w:lastRenderedPageBreak/>
        <w:t>DSA COMMENTS TO THE DRAFT REGULATIONS ON DYNAMIC SPECTRUM ACCESS AND OPPORTUNISTIC SPECTRUM MANAGEMENT IN THE INNOVATION SPECTRUM 3800 - 4200 MHz AND 5925 – 6425 MHz</w:t>
      </w:r>
    </w:p>
    <w:p w14:paraId="2F141511" w14:textId="77777777" w:rsidR="00DC1F42" w:rsidRDefault="00DC1F42" w:rsidP="00DC1F42">
      <w:pPr>
        <w:jc w:val="center"/>
        <w:rPr>
          <w:rFonts w:ascii="Calibri" w:hAnsi="Calibri" w:cs="Calibri"/>
          <w:b/>
          <w:bCs/>
        </w:rPr>
      </w:pPr>
    </w:p>
    <w:p w14:paraId="3D73B6B2" w14:textId="16CAB081" w:rsidR="00632050" w:rsidRPr="002D12AF" w:rsidRDefault="00667525" w:rsidP="00632050">
      <w:pPr>
        <w:ind w:leftChars="200" w:left="440"/>
        <w:jc w:val="both"/>
        <w:rPr>
          <w:rFonts w:ascii="Calibri" w:hAnsi="Calibri" w:cs="Calibri"/>
          <w:b/>
          <w:bCs/>
        </w:rPr>
      </w:pPr>
      <w:r>
        <w:rPr>
          <w:rFonts w:ascii="Calibri" w:hAnsi="Calibri" w:cs="Calibri"/>
          <w:b/>
          <w:bCs/>
        </w:rPr>
        <w:t>A</w:t>
      </w:r>
      <w:r w:rsidR="00632050" w:rsidRPr="002D12AF">
        <w:rPr>
          <w:rFonts w:ascii="Calibri" w:hAnsi="Calibri" w:cs="Calibri"/>
          <w:b/>
          <w:bCs/>
        </w:rPr>
        <w:t>. Innovation Spectrum Devices (Sections 4 and 5)</w:t>
      </w:r>
    </w:p>
    <w:p w14:paraId="49EDA8DB" w14:textId="2F44FA8A" w:rsidR="00632050" w:rsidRDefault="00632050" w:rsidP="00632050">
      <w:pPr>
        <w:jc w:val="both"/>
        <w:rPr>
          <w:rFonts w:ascii="Calibri" w:hAnsi="Calibri" w:cs="Calibri"/>
        </w:rPr>
      </w:pPr>
      <w:r>
        <w:rPr>
          <w:rFonts w:ascii="Calibri" w:hAnsi="Calibri" w:cs="Calibri"/>
        </w:rPr>
        <w:t xml:space="preserve">The DSA understands that ISDs type approval by </w:t>
      </w:r>
      <w:r w:rsidRPr="003253AE">
        <w:rPr>
          <w:rFonts w:ascii="Calibri" w:hAnsi="Calibri" w:cs="Calibri"/>
        </w:rPr>
        <w:t>The</w:t>
      </w:r>
      <w:r>
        <w:rPr>
          <w:rFonts w:ascii="Calibri" w:hAnsi="Calibri" w:cs="Calibri"/>
        </w:rPr>
        <w:t xml:space="preserve"> Authority is required</w:t>
      </w:r>
      <w:r w:rsidR="00810E6F">
        <w:rPr>
          <w:rFonts w:ascii="Calibri" w:hAnsi="Calibri" w:cs="Calibri"/>
        </w:rPr>
        <w:t xml:space="preserve"> only</w:t>
      </w:r>
      <w:r>
        <w:rPr>
          <w:rFonts w:ascii="Calibri" w:hAnsi="Calibri" w:cs="Calibri"/>
        </w:rPr>
        <w:t xml:space="preserve"> for devices transmitting or receiving in the ISFR-1. However, </w:t>
      </w:r>
      <w:r w:rsidR="00810E6F">
        <w:rPr>
          <w:rFonts w:ascii="Calibri" w:hAnsi="Calibri" w:cs="Calibri"/>
        </w:rPr>
        <w:t>we</w:t>
      </w:r>
      <w:r>
        <w:rPr>
          <w:rFonts w:ascii="Calibri" w:hAnsi="Calibri" w:cs="Calibri"/>
        </w:rPr>
        <w:t xml:space="preserve"> recommend revising the text </w:t>
      </w:r>
      <w:r w:rsidR="00810E6F">
        <w:rPr>
          <w:rFonts w:ascii="Calibri" w:hAnsi="Calibri" w:cs="Calibri"/>
        </w:rPr>
        <w:t>to</w:t>
      </w:r>
      <w:r>
        <w:rPr>
          <w:rFonts w:ascii="Calibri" w:hAnsi="Calibri" w:cs="Calibri"/>
        </w:rPr>
        <w:t xml:space="preserve"> explicitly state that devices operating in ISFR-2 are ex</w:t>
      </w:r>
      <w:r w:rsidR="00810E6F">
        <w:rPr>
          <w:rFonts w:ascii="Calibri" w:hAnsi="Calibri" w:cs="Calibri"/>
        </w:rPr>
        <w:t>empt f</w:t>
      </w:r>
      <w:r>
        <w:rPr>
          <w:rFonts w:ascii="Calibri" w:hAnsi="Calibri" w:cs="Calibri"/>
        </w:rPr>
        <w:t xml:space="preserve">rom </w:t>
      </w:r>
      <w:r w:rsidR="00810E6F">
        <w:rPr>
          <w:rFonts w:ascii="Calibri" w:hAnsi="Calibri" w:cs="Calibri"/>
        </w:rPr>
        <w:t xml:space="preserve">both </w:t>
      </w:r>
      <w:r>
        <w:rPr>
          <w:rFonts w:ascii="Calibri" w:hAnsi="Calibri" w:cs="Calibri"/>
        </w:rPr>
        <w:t>registration and type approval requirement</w:t>
      </w:r>
      <w:r w:rsidR="00810E6F">
        <w:rPr>
          <w:rFonts w:ascii="Calibri" w:hAnsi="Calibri" w:cs="Calibri"/>
        </w:rPr>
        <w:t xml:space="preserve">s. This clarification would align the regulation with established </w:t>
      </w:r>
      <w:r w:rsidRPr="003253AE">
        <w:rPr>
          <w:rFonts w:ascii="Calibri" w:hAnsi="Calibri" w:cs="Calibri"/>
        </w:rPr>
        <w:t>international frameworks</w:t>
      </w:r>
      <w:r w:rsidR="00810E6F">
        <w:rPr>
          <w:rFonts w:ascii="Calibri" w:hAnsi="Calibri" w:cs="Calibri"/>
        </w:rPr>
        <w:t xml:space="preserve"> and reduce potential ambiguity</w:t>
      </w:r>
      <w:r w:rsidRPr="003253AE">
        <w:rPr>
          <w:rFonts w:ascii="Calibri" w:hAnsi="Calibri" w:cs="Calibri"/>
        </w:rPr>
        <w:t>.</w:t>
      </w:r>
    </w:p>
    <w:p w14:paraId="2C5CD335" w14:textId="77777777" w:rsidR="00632050" w:rsidRPr="00DC1F42" w:rsidRDefault="00632050" w:rsidP="00632050">
      <w:pPr>
        <w:jc w:val="both"/>
        <w:rPr>
          <w:rFonts w:ascii="Calibri" w:hAnsi="Calibri" w:cs="Calibri"/>
          <w:b/>
          <w:bCs/>
        </w:rPr>
      </w:pPr>
    </w:p>
    <w:p w14:paraId="620F2DF7" w14:textId="368FFA33" w:rsidR="00BB32C5" w:rsidRPr="00130347" w:rsidRDefault="00BB32C5" w:rsidP="00BB32C5">
      <w:pPr>
        <w:ind w:leftChars="200" w:left="440"/>
        <w:jc w:val="both"/>
        <w:rPr>
          <w:rFonts w:ascii="Calibri" w:hAnsi="Calibri" w:cs="Calibri"/>
          <w:b/>
          <w:bCs/>
        </w:rPr>
      </w:pPr>
      <w:r w:rsidRPr="003253AE">
        <w:rPr>
          <w:rFonts w:ascii="Calibri" w:hAnsi="Calibri" w:cs="Calibri"/>
          <w:b/>
          <w:bCs/>
        </w:rPr>
        <w:t>B.</w:t>
      </w:r>
      <w:r>
        <w:rPr>
          <w:rFonts w:ascii="Calibri" w:hAnsi="Calibri" w:cs="Calibri" w:hint="eastAsia"/>
          <w:b/>
          <w:bCs/>
        </w:rPr>
        <w:t xml:space="preserve"> </w:t>
      </w:r>
      <w:r w:rsidRPr="003253AE">
        <w:rPr>
          <w:rFonts w:ascii="Calibri" w:hAnsi="Calibri" w:cs="Calibri"/>
          <w:b/>
          <w:bCs/>
        </w:rPr>
        <w:t xml:space="preserve">Channel </w:t>
      </w:r>
      <w:r>
        <w:rPr>
          <w:rFonts w:ascii="Calibri" w:hAnsi="Calibri" w:cs="Calibri"/>
          <w:b/>
          <w:bCs/>
        </w:rPr>
        <w:t>Assignment per License Area (Section 9)</w:t>
      </w:r>
    </w:p>
    <w:p w14:paraId="312B9899" w14:textId="5AE00B9F" w:rsidR="003253AE" w:rsidRDefault="003253AE" w:rsidP="003253AE">
      <w:pPr>
        <w:jc w:val="both"/>
        <w:rPr>
          <w:rFonts w:ascii="Calibri" w:hAnsi="Calibri" w:cs="Calibri"/>
        </w:rPr>
      </w:pPr>
      <w:r w:rsidRPr="003253AE">
        <w:rPr>
          <w:rFonts w:ascii="Calibri" w:hAnsi="Calibri" w:cs="Calibri"/>
        </w:rPr>
        <w:t>The proposed channel bandwidth</w:t>
      </w:r>
      <w:r w:rsidR="00810E6F">
        <w:rPr>
          <w:rFonts w:ascii="Calibri" w:hAnsi="Calibri" w:cs="Calibri"/>
        </w:rPr>
        <w:t xml:space="preserve"> limitations</w:t>
      </w:r>
      <w:r w:rsidR="00BB32C5">
        <w:rPr>
          <w:rFonts w:ascii="Calibri" w:hAnsi="Calibri" w:cs="Calibri"/>
        </w:rPr>
        <w:t xml:space="preserve"> for ISDs operating in ISFR-1</w:t>
      </w:r>
      <w:r w:rsidR="00810E6F">
        <w:rPr>
          <w:rFonts w:ascii="Calibri" w:hAnsi="Calibri" w:cs="Calibri"/>
        </w:rPr>
        <w:t>, specifically,</w:t>
      </w:r>
      <w:r w:rsidRPr="003253AE">
        <w:rPr>
          <w:rFonts w:ascii="Calibri" w:hAnsi="Calibri" w:cs="Calibri"/>
        </w:rPr>
        <w:t xml:space="preserve"> 2×10 MHz in urban areas and 4×10</w:t>
      </w:r>
      <w:r w:rsidR="00A34A7E">
        <w:rPr>
          <w:rFonts w:ascii="Calibri" w:hAnsi="Calibri" w:cs="Calibri"/>
        </w:rPr>
        <w:t> </w:t>
      </w:r>
      <w:r w:rsidRPr="003253AE">
        <w:rPr>
          <w:rFonts w:ascii="Calibri" w:hAnsi="Calibri" w:cs="Calibri"/>
        </w:rPr>
        <w:t xml:space="preserve">MHz in rural </w:t>
      </w:r>
      <w:r w:rsidR="00130347">
        <w:rPr>
          <w:rFonts w:ascii="Calibri" w:hAnsi="Calibri" w:cs="Calibri" w:hint="eastAsia"/>
        </w:rPr>
        <w:t>area</w:t>
      </w:r>
      <w:r w:rsidRPr="003253AE">
        <w:rPr>
          <w:rFonts w:ascii="Calibri" w:hAnsi="Calibri" w:cs="Calibri"/>
        </w:rPr>
        <w:t>s</w:t>
      </w:r>
      <w:r w:rsidR="00810E6F">
        <w:rPr>
          <w:rFonts w:ascii="Calibri" w:hAnsi="Calibri" w:cs="Calibri"/>
        </w:rPr>
        <w:t xml:space="preserve">, </w:t>
      </w:r>
      <w:r w:rsidRPr="003253AE">
        <w:rPr>
          <w:rFonts w:ascii="Calibri" w:hAnsi="Calibri" w:cs="Calibri"/>
        </w:rPr>
        <w:t xml:space="preserve">are </w:t>
      </w:r>
      <w:r w:rsidR="00810E6F">
        <w:rPr>
          <w:rFonts w:ascii="Calibri" w:hAnsi="Calibri" w:cs="Calibri"/>
        </w:rPr>
        <w:t>overly</w:t>
      </w:r>
      <w:r w:rsidRPr="003253AE">
        <w:rPr>
          <w:rFonts w:ascii="Calibri" w:hAnsi="Calibri" w:cs="Calibri"/>
        </w:rPr>
        <w:t xml:space="preserve"> restrictive and may undermine the usability of the spectrum for high-throughput broadband services.</w:t>
      </w:r>
      <w:r w:rsidR="00B04E04">
        <w:rPr>
          <w:rFonts w:ascii="Calibri" w:hAnsi="Calibri" w:cs="Calibri"/>
        </w:rPr>
        <w:t xml:space="preserve"> Modern radio</w:t>
      </w:r>
      <w:r w:rsidR="00810E6F">
        <w:rPr>
          <w:rFonts w:ascii="Calibri" w:hAnsi="Calibri" w:cs="Calibri"/>
        </w:rPr>
        <w:t xml:space="preserve"> equipment designed for</w:t>
      </w:r>
      <w:r w:rsidR="00B04E04">
        <w:rPr>
          <w:rFonts w:ascii="Calibri" w:hAnsi="Calibri" w:cs="Calibri"/>
        </w:rPr>
        <w:t xml:space="preserve"> ISFR-1 </w:t>
      </w:r>
      <w:r w:rsidR="00810E6F">
        <w:rPr>
          <w:rFonts w:ascii="Calibri" w:hAnsi="Calibri" w:cs="Calibri"/>
        </w:rPr>
        <w:t xml:space="preserve">typically supports </w:t>
      </w:r>
      <w:r w:rsidR="00B04E04">
        <w:rPr>
          <w:rFonts w:ascii="Calibri" w:hAnsi="Calibri" w:cs="Calibri"/>
        </w:rPr>
        <w:t>channel bandwidths of 100 MHz or more</w:t>
      </w:r>
      <w:r w:rsidR="00810E6F">
        <w:rPr>
          <w:rFonts w:ascii="Calibri" w:hAnsi="Calibri" w:cs="Calibri"/>
        </w:rPr>
        <w:t xml:space="preserve"> and is capable of </w:t>
      </w:r>
      <w:r w:rsidR="00B04E04">
        <w:rPr>
          <w:rFonts w:ascii="Calibri" w:hAnsi="Calibri" w:cs="Calibri"/>
        </w:rPr>
        <w:t xml:space="preserve">carrier aggregation. </w:t>
      </w:r>
      <w:r w:rsidR="00632050">
        <w:rPr>
          <w:rFonts w:ascii="Calibri" w:hAnsi="Calibri" w:cs="Calibri"/>
        </w:rPr>
        <w:t xml:space="preserve">Many </w:t>
      </w:r>
      <w:r w:rsidR="00810E6F">
        <w:rPr>
          <w:rFonts w:ascii="Calibri" w:hAnsi="Calibri" w:cs="Calibri"/>
        </w:rPr>
        <w:t xml:space="preserve">such devices also support </w:t>
      </w:r>
      <w:r w:rsidR="00632050">
        <w:rPr>
          <w:rFonts w:ascii="Calibri" w:hAnsi="Calibri" w:cs="Calibri"/>
        </w:rPr>
        <w:t xml:space="preserve">frequency reuse of 1, </w:t>
      </w:r>
      <w:r w:rsidR="00810E6F">
        <w:rPr>
          <w:rFonts w:ascii="Calibri" w:hAnsi="Calibri" w:cs="Calibri"/>
        </w:rPr>
        <w:t>enabling</w:t>
      </w:r>
      <w:r w:rsidR="00632050">
        <w:rPr>
          <w:rFonts w:ascii="Calibri" w:hAnsi="Calibri" w:cs="Calibri"/>
        </w:rPr>
        <w:t xml:space="preserve"> multiple sectors on the same tower to operate </w:t>
      </w:r>
      <w:r w:rsidR="00810E6F">
        <w:rPr>
          <w:rFonts w:ascii="Calibri" w:hAnsi="Calibri" w:cs="Calibri"/>
        </w:rPr>
        <w:t>o</w:t>
      </w:r>
      <w:r w:rsidR="00632050">
        <w:rPr>
          <w:rFonts w:ascii="Calibri" w:hAnsi="Calibri" w:cs="Calibri"/>
        </w:rPr>
        <w:t xml:space="preserve">n the same channel. </w:t>
      </w:r>
      <w:r w:rsidR="00810E6F">
        <w:rPr>
          <w:rFonts w:ascii="Calibri" w:hAnsi="Calibri" w:cs="Calibri"/>
        </w:rPr>
        <w:t>T</w:t>
      </w:r>
      <w:r w:rsidR="00B04E04">
        <w:rPr>
          <w:rFonts w:ascii="Calibri" w:hAnsi="Calibri" w:cs="Calibri"/>
        </w:rPr>
        <w:t>h</w:t>
      </w:r>
      <w:r w:rsidR="00632050">
        <w:rPr>
          <w:rFonts w:ascii="Calibri" w:hAnsi="Calibri" w:cs="Calibri"/>
        </w:rPr>
        <w:t>ese</w:t>
      </w:r>
      <w:r w:rsidR="00B04E04">
        <w:rPr>
          <w:rFonts w:ascii="Calibri" w:hAnsi="Calibri" w:cs="Calibri"/>
        </w:rPr>
        <w:t xml:space="preserve"> </w:t>
      </w:r>
      <w:r w:rsidR="00810E6F">
        <w:rPr>
          <w:rFonts w:ascii="Calibri" w:hAnsi="Calibri" w:cs="Calibri"/>
        </w:rPr>
        <w:t xml:space="preserve">capabilities allow for significantly </w:t>
      </w:r>
      <w:r w:rsidR="00B04E04">
        <w:rPr>
          <w:rFonts w:ascii="Calibri" w:hAnsi="Calibri" w:cs="Calibri"/>
        </w:rPr>
        <w:t xml:space="preserve">higher throughput per link, </w:t>
      </w:r>
      <w:r w:rsidR="00810E6F">
        <w:rPr>
          <w:rFonts w:ascii="Calibri" w:hAnsi="Calibri" w:cs="Calibri"/>
        </w:rPr>
        <w:t xml:space="preserve">greater </w:t>
      </w:r>
      <w:r w:rsidR="00B04E04">
        <w:rPr>
          <w:rFonts w:ascii="Calibri" w:hAnsi="Calibri" w:cs="Calibri"/>
        </w:rPr>
        <w:t>aggregate capacity</w:t>
      </w:r>
      <w:r w:rsidR="00632050">
        <w:rPr>
          <w:rFonts w:ascii="Calibri" w:hAnsi="Calibri" w:cs="Calibri"/>
        </w:rPr>
        <w:t xml:space="preserve"> and</w:t>
      </w:r>
      <w:r w:rsidR="00B04E04">
        <w:rPr>
          <w:rFonts w:ascii="Calibri" w:hAnsi="Calibri" w:cs="Calibri"/>
        </w:rPr>
        <w:t xml:space="preserve"> </w:t>
      </w:r>
      <w:r w:rsidR="00810E6F">
        <w:rPr>
          <w:rFonts w:ascii="Calibri" w:hAnsi="Calibri" w:cs="Calibri"/>
        </w:rPr>
        <w:t xml:space="preserve">a larger </w:t>
      </w:r>
      <w:r w:rsidR="00B04E04">
        <w:rPr>
          <w:rFonts w:ascii="Calibri" w:hAnsi="Calibri" w:cs="Calibri"/>
        </w:rPr>
        <w:t xml:space="preserve">number of users. </w:t>
      </w:r>
      <w:r w:rsidR="00810E6F">
        <w:rPr>
          <w:rFonts w:ascii="Calibri" w:hAnsi="Calibri" w:cs="Calibri"/>
        </w:rPr>
        <w:t xml:space="preserve">We encourage </w:t>
      </w:r>
      <w:r w:rsidR="00BB32C5">
        <w:rPr>
          <w:rFonts w:ascii="Calibri" w:hAnsi="Calibri" w:cs="Calibri"/>
        </w:rPr>
        <w:t>I</w:t>
      </w:r>
      <w:r w:rsidR="00A34A7E">
        <w:rPr>
          <w:rFonts w:ascii="Calibri" w:hAnsi="Calibri" w:cs="Calibri"/>
        </w:rPr>
        <w:t>CASA</w:t>
      </w:r>
      <w:r w:rsidR="00810E6F">
        <w:rPr>
          <w:rFonts w:ascii="Calibri" w:hAnsi="Calibri" w:cs="Calibri"/>
        </w:rPr>
        <w:t xml:space="preserve"> to</w:t>
      </w:r>
      <w:r w:rsidR="00B04E04">
        <w:rPr>
          <w:rFonts w:ascii="Calibri" w:hAnsi="Calibri" w:cs="Calibri"/>
        </w:rPr>
        <w:t xml:space="preserve"> </w:t>
      </w:r>
      <w:r w:rsidR="00A34A7E">
        <w:rPr>
          <w:rFonts w:ascii="Calibri" w:hAnsi="Calibri" w:cs="Calibri"/>
        </w:rPr>
        <w:t>consider</w:t>
      </w:r>
      <w:r w:rsidR="00810E6F">
        <w:rPr>
          <w:rFonts w:ascii="Calibri" w:hAnsi="Calibri" w:cs="Calibri"/>
        </w:rPr>
        <w:t xml:space="preserve"> international precedents, such as the</w:t>
      </w:r>
      <w:r w:rsidR="00632050">
        <w:rPr>
          <w:rFonts w:ascii="Calibri" w:hAnsi="Calibri" w:cs="Calibri"/>
        </w:rPr>
        <w:t xml:space="preserve"> CBRS</w:t>
      </w:r>
      <w:r w:rsidR="00810E6F">
        <w:rPr>
          <w:rFonts w:ascii="Calibri" w:hAnsi="Calibri" w:cs="Calibri"/>
        </w:rPr>
        <w:t xml:space="preserve"> framework in the United States</w:t>
      </w:r>
      <w:r w:rsidR="00632050">
        <w:rPr>
          <w:rFonts w:ascii="Calibri" w:hAnsi="Calibri" w:cs="Calibri"/>
        </w:rPr>
        <w:t xml:space="preserve"> </w:t>
      </w:r>
      <w:r w:rsidR="00810E6F">
        <w:rPr>
          <w:rFonts w:ascii="Calibri" w:hAnsi="Calibri" w:cs="Calibri"/>
        </w:rPr>
        <w:t xml:space="preserve">and </w:t>
      </w:r>
      <w:r w:rsidR="00632050">
        <w:rPr>
          <w:rFonts w:ascii="Calibri" w:hAnsi="Calibri" w:cs="Calibri"/>
        </w:rPr>
        <w:t>ISFR-1</w:t>
      </w:r>
      <w:r w:rsidR="00810E6F">
        <w:rPr>
          <w:rFonts w:ascii="Calibri" w:hAnsi="Calibri" w:cs="Calibri"/>
        </w:rPr>
        <w:t xml:space="preserve"> frameworks</w:t>
      </w:r>
      <w:r w:rsidR="00632050">
        <w:rPr>
          <w:rFonts w:ascii="Calibri" w:hAnsi="Calibri" w:cs="Calibri"/>
        </w:rPr>
        <w:t xml:space="preserve"> in Europe and the UK</w:t>
      </w:r>
      <w:r w:rsidR="00810E6F">
        <w:rPr>
          <w:rFonts w:ascii="Calibri" w:hAnsi="Calibri" w:cs="Calibri"/>
        </w:rPr>
        <w:t xml:space="preserve">, where dynamic access rules often permit up </w:t>
      </w:r>
      <w:r w:rsidRPr="003253AE">
        <w:rPr>
          <w:rFonts w:ascii="Calibri" w:hAnsi="Calibri" w:cs="Calibri"/>
        </w:rPr>
        <w:t>to 100 MHz or more of contiguous bandwidth, depending on availability and interference constraints.</w:t>
      </w:r>
      <w:r w:rsidR="00632050">
        <w:rPr>
          <w:rFonts w:ascii="Calibri" w:hAnsi="Calibri" w:cs="Calibri"/>
        </w:rPr>
        <w:t xml:space="preserve"> </w:t>
      </w:r>
    </w:p>
    <w:p w14:paraId="044E5559" w14:textId="77777777" w:rsidR="00174D6F" w:rsidRDefault="00174D6F" w:rsidP="003253AE">
      <w:pPr>
        <w:jc w:val="both"/>
        <w:rPr>
          <w:rFonts w:ascii="Calibri" w:hAnsi="Calibri" w:cs="Calibri"/>
        </w:rPr>
      </w:pPr>
    </w:p>
    <w:p w14:paraId="12B37208" w14:textId="09DFD32B" w:rsidR="00BB32C5" w:rsidRPr="00130347" w:rsidRDefault="00BB32C5" w:rsidP="00BB32C5">
      <w:pPr>
        <w:ind w:leftChars="200" w:left="440"/>
        <w:jc w:val="both"/>
        <w:rPr>
          <w:rFonts w:ascii="Calibri" w:hAnsi="Calibri" w:cs="Calibri"/>
          <w:b/>
          <w:bCs/>
        </w:rPr>
      </w:pPr>
      <w:r>
        <w:rPr>
          <w:rFonts w:ascii="Calibri" w:hAnsi="Calibri" w:cs="Calibri"/>
          <w:b/>
          <w:bCs/>
        </w:rPr>
        <w:t>C</w:t>
      </w:r>
      <w:r w:rsidRPr="003253AE">
        <w:rPr>
          <w:rFonts w:ascii="Calibri" w:hAnsi="Calibri" w:cs="Calibri"/>
          <w:b/>
          <w:bCs/>
        </w:rPr>
        <w:t>.</w:t>
      </w:r>
      <w:r>
        <w:rPr>
          <w:rFonts w:ascii="Calibri" w:hAnsi="Calibri" w:cs="Calibri" w:hint="eastAsia"/>
          <w:b/>
          <w:bCs/>
        </w:rPr>
        <w:t xml:space="preserve"> </w:t>
      </w:r>
      <w:r w:rsidRPr="00DA45D6">
        <w:rPr>
          <w:rFonts w:ascii="Calibri" w:hAnsi="Calibri" w:cs="Calibri"/>
          <w:b/>
          <w:bCs/>
        </w:rPr>
        <w:t>Maximum Permitted Transmit Power Levels</w:t>
      </w:r>
      <w:r w:rsidRPr="003253AE">
        <w:rPr>
          <w:rFonts w:ascii="Calibri" w:hAnsi="Calibri" w:cs="Calibri"/>
          <w:b/>
          <w:bCs/>
        </w:rPr>
        <w:t xml:space="preserve"> </w:t>
      </w:r>
      <w:r>
        <w:rPr>
          <w:rFonts w:ascii="Calibri" w:hAnsi="Calibri" w:cs="Calibri"/>
          <w:b/>
          <w:bCs/>
        </w:rPr>
        <w:t>of ISDs (Section 10)</w:t>
      </w:r>
    </w:p>
    <w:p w14:paraId="092A4CCA" w14:textId="791EA294" w:rsidR="00BB32C5" w:rsidRDefault="00BB32C5" w:rsidP="00BB32C5">
      <w:pPr>
        <w:jc w:val="both"/>
        <w:rPr>
          <w:rFonts w:ascii="Calibri" w:hAnsi="Calibri" w:cs="Calibri"/>
        </w:rPr>
      </w:pPr>
      <w:r>
        <w:rPr>
          <w:rFonts w:ascii="Calibri" w:hAnsi="Calibri" w:cs="Calibri" w:hint="eastAsia"/>
        </w:rPr>
        <w:t xml:space="preserve">The </w:t>
      </w:r>
      <w:r w:rsidRPr="00DA45D6">
        <w:rPr>
          <w:rFonts w:ascii="Calibri" w:hAnsi="Calibri" w:cs="Calibri"/>
        </w:rPr>
        <w:t>DSA acknowledges ICASA’s effort to define maximum transmit power levels by deployment environment in ISFR-1 (</w:t>
      </w:r>
      <w:r w:rsidRPr="003253AE">
        <w:rPr>
          <w:rFonts w:ascii="Calibri" w:hAnsi="Calibri" w:cs="Calibri"/>
        </w:rPr>
        <w:t>3</w:t>
      </w:r>
      <w:r>
        <w:rPr>
          <w:rFonts w:ascii="Calibri" w:hAnsi="Calibri" w:cs="Calibri" w:hint="eastAsia"/>
        </w:rPr>
        <w:t>800</w:t>
      </w:r>
      <w:r w:rsidRPr="003253AE">
        <w:rPr>
          <w:rFonts w:ascii="Calibri" w:hAnsi="Calibri" w:cs="Calibri"/>
        </w:rPr>
        <w:t>–4</w:t>
      </w:r>
      <w:r>
        <w:rPr>
          <w:rFonts w:ascii="Calibri" w:hAnsi="Calibri" w:cs="Calibri" w:hint="eastAsia"/>
        </w:rPr>
        <w:t>200</w:t>
      </w:r>
      <w:r w:rsidRPr="003253AE">
        <w:rPr>
          <w:rFonts w:ascii="Calibri" w:hAnsi="Calibri" w:cs="Calibri"/>
        </w:rPr>
        <w:t xml:space="preserve"> </w:t>
      </w:r>
      <w:r>
        <w:rPr>
          <w:rFonts w:ascii="Calibri" w:hAnsi="Calibri" w:cs="Calibri" w:hint="eastAsia"/>
        </w:rPr>
        <w:t>M</w:t>
      </w:r>
      <w:r w:rsidRPr="003253AE">
        <w:rPr>
          <w:rFonts w:ascii="Calibri" w:hAnsi="Calibri" w:cs="Calibri"/>
        </w:rPr>
        <w:t>Hz</w:t>
      </w:r>
      <w:r w:rsidRPr="00DA45D6">
        <w:rPr>
          <w:rFonts w:ascii="Calibri" w:hAnsi="Calibri" w:cs="Calibri"/>
        </w:rPr>
        <w:t>) and ISFR-2 (</w:t>
      </w:r>
      <w:r>
        <w:rPr>
          <w:rFonts w:ascii="Calibri" w:hAnsi="Calibri" w:cs="Calibri" w:hint="eastAsia"/>
        </w:rPr>
        <w:t>5925-6425</w:t>
      </w:r>
      <w:r w:rsidRPr="003253AE">
        <w:rPr>
          <w:rFonts w:ascii="Calibri" w:hAnsi="Calibri" w:cs="Calibri"/>
        </w:rPr>
        <w:t xml:space="preserve"> </w:t>
      </w:r>
      <w:r>
        <w:rPr>
          <w:rFonts w:ascii="Calibri" w:hAnsi="Calibri" w:cs="Calibri" w:hint="eastAsia"/>
        </w:rPr>
        <w:t>M</w:t>
      </w:r>
      <w:r w:rsidRPr="003253AE">
        <w:rPr>
          <w:rFonts w:ascii="Calibri" w:hAnsi="Calibri" w:cs="Calibri"/>
        </w:rPr>
        <w:t>Hz</w:t>
      </w:r>
      <w:r w:rsidRPr="00DA45D6">
        <w:rPr>
          <w:rFonts w:ascii="Calibri" w:hAnsi="Calibri" w:cs="Calibri"/>
        </w:rPr>
        <w:t xml:space="preserve">). However, the fixed limits proposed under </w:t>
      </w:r>
      <w:r>
        <w:rPr>
          <w:rFonts w:ascii="Calibri" w:hAnsi="Calibri" w:cs="Calibri" w:hint="eastAsia"/>
        </w:rPr>
        <w:t>section</w:t>
      </w:r>
      <w:r w:rsidRPr="00DA45D6">
        <w:rPr>
          <w:rFonts w:ascii="Calibri" w:hAnsi="Calibri" w:cs="Calibri"/>
        </w:rPr>
        <w:t xml:space="preserve"> 10 </w:t>
      </w:r>
      <w:r>
        <w:rPr>
          <w:rFonts w:ascii="Calibri" w:hAnsi="Calibri" w:cs="Calibri"/>
        </w:rPr>
        <w:t>may be</w:t>
      </w:r>
      <w:r w:rsidRPr="00DA45D6">
        <w:rPr>
          <w:rFonts w:ascii="Calibri" w:hAnsi="Calibri" w:cs="Calibri"/>
        </w:rPr>
        <w:t xml:space="preserve"> too restrictive and hinder the full potential of dynamic spectrum access, particularly for higher-capacity, outdoor broadband deployments.</w:t>
      </w:r>
      <w:r w:rsidRPr="00DA45D6">
        <w:rPr>
          <w:rFonts w:ascii="Calibri" w:hAnsi="Calibri" w:cs="Calibri" w:hint="eastAsia"/>
        </w:rPr>
        <w:t xml:space="preserve"> </w:t>
      </w:r>
      <w:r w:rsidRPr="00DA45D6">
        <w:rPr>
          <w:rFonts w:ascii="Calibri" w:hAnsi="Calibri" w:cs="Calibri"/>
        </w:rPr>
        <w:t xml:space="preserve">While these limits provide a basic framework, </w:t>
      </w:r>
      <w:r>
        <w:rPr>
          <w:rFonts w:ascii="Calibri" w:hAnsi="Calibri" w:cs="Calibri" w:hint="eastAsia"/>
        </w:rPr>
        <w:t>the DSA</w:t>
      </w:r>
      <w:r w:rsidRPr="00DA45D6">
        <w:rPr>
          <w:rFonts w:ascii="Calibri" w:hAnsi="Calibri" w:cs="Calibri"/>
        </w:rPr>
        <w:t xml:space="preserve"> recommend</w:t>
      </w:r>
      <w:r>
        <w:rPr>
          <w:rFonts w:ascii="Calibri" w:hAnsi="Calibri" w:cs="Calibri"/>
        </w:rPr>
        <w:t>s</w:t>
      </w:r>
      <w:r w:rsidRPr="00DA45D6">
        <w:rPr>
          <w:rFonts w:ascii="Calibri" w:hAnsi="Calibri" w:cs="Calibri"/>
        </w:rPr>
        <w:t xml:space="preserve"> transitioning from static power limits to a dynamic, location-based power control model, managed by the</w:t>
      </w:r>
      <w:r>
        <w:rPr>
          <w:rFonts w:ascii="Calibri" w:hAnsi="Calibri" w:cs="Calibri"/>
        </w:rPr>
        <w:t xml:space="preserve"> Unified Spectrum Switch (</w:t>
      </w:r>
      <w:r w:rsidRPr="00DA45D6">
        <w:rPr>
          <w:rFonts w:ascii="Calibri" w:hAnsi="Calibri" w:cs="Calibri"/>
        </w:rPr>
        <w:t>USS</w:t>
      </w:r>
      <w:r>
        <w:rPr>
          <w:rFonts w:ascii="Calibri" w:hAnsi="Calibri" w:cs="Calibri"/>
        </w:rPr>
        <w:t>)</w:t>
      </w:r>
      <w:r w:rsidRPr="00DA45D6">
        <w:rPr>
          <w:rFonts w:ascii="Calibri" w:hAnsi="Calibri" w:cs="Calibri"/>
        </w:rPr>
        <w:t xml:space="preserve">. As noted in </w:t>
      </w:r>
      <w:r>
        <w:rPr>
          <w:rFonts w:ascii="Calibri" w:hAnsi="Calibri" w:cs="Calibri" w:hint="eastAsia"/>
        </w:rPr>
        <w:t>section</w:t>
      </w:r>
      <w:r w:rsidRPr="00DA45D6">
        <w:rPr>
          <w:rFonts w:ascii="Calibri" w:hAnsi="Calibri" w:cs="Calibri"/>
        </w:rPr>
        <w:t xml:space="preserve"> 10</w:t>
      </w:r>
      <w:r>
        <w:rPr>
          <w:rFonts w:ascii="Calibri" w:hAnsi="Calibri" w:cs="Calibri" w:hint="eastAsia"/>
        </w:rPr>
        <w:t xml:space="preserve"> </w:t>
      </w:r>
      <w:r w:rsidRPr="00DA45D6">
        <w:rPr>
          <w:rFonts w:ascii="Calibri" w:hAnsi="Calibri" w:cs="Calibri"/>
        </w:rPr>
        <w:t>(4), ICASA already anticipates that power levels may need to be reduced below these thresholds where necessary to avoid interference. A fully dynamic approach</w:t>
      </w:r>
      <w:r>
        <w:rPr>
          <w:rFonts w:ascii="Calibri" w:hAnsi="Calibri" w:cs="Calibri" w:hint="eastAsia"/>
        </w:rPr>
        <w:t xml:space="preserve">, </w:t>
      </w:r>
      <w:r w:rsidRPr="00DA45D6">
        <w:rPr>
          <w:rFonts w:ascii="Calibri" w:hAnsi="Calibri" w:cs="Calibri"/>
        </w:rPr>
        <w:t xml:space="preserve">where the USS calculates permissible EIRP </w:t>
      </w:r>
      <w:r w:rsidR="0052340C">
        <w:rPr>
          <w:rFonts w:ascii="Calibri" w:hAnsi="Calibri" w:cs="Calibri"/>
        </w:rPr>
        <w:t xml:space="preserve">for Master </w:t>
      </w:r>
      <w:r w:rsidR="008F1420">
        <w:rPr>
          <w:rFonts w:ascii="Calibri" w:hAnsi="Calibri" w:cs="Calibri"/>
        </w:rPr>
        <w:t xml:space="preserve">ISDs </w:t>
      </w:r>
      <w:r w:rsidRPr="00DA45D6">
        <w:rPr>
          <w:rFonts w:ascii="Calibri" w:hAnsi="Calibri" w:cs="Calibri"/>
        </w:rPr>
        <w:t xml:space="preserve">in real-time based on </w:t>
      </w:r>
      <w:r w:rsidR="006E38C3">
        <w:rPr>
          <w:rFonts w:ascii="Calibri" w:hAnsi="Calibri" w:cs="Calibri"/>
        </w:rPr>
        <w:t xml:space="preserve">the device’s </w:t>
      </w:r>
      <w:r w:rsidR="00704F70">
        <w:rPr>
          <w:rFonts w:ascii="Calibri" w:hAnsi="Calibri" w:cs="Calibri"/>
        </w:rPr>
        <w:t>geo</w:t>
      </w:r>
      <w:r w:rsidR="00943316">
        <w:rPr>
          <w:rFonts w:ascii="Calibri" w:hAnsi="Calibri" w:cs="Calibri"/>
        </w:rPr>
        <w:t>-location capability</w:t>
      </w:r>
      <w:r w:rsidRPr="00DA45D6">
        <w:rPr>
          <w:rFonts w:ascii="Calibri" w:hAnsi="Calibri" w:cs="Calibri"/>
        </w:rPr>
        <w:t>, incumbent proximity, terrain</w:t>
      </w:r>
      <w:r>
        <w:rPr>
          <w:rFonts w:ascii="Calibri" w:hAnsi="Calibri" w:cs="Calibri" w:hint="eastAsia"/>
        </w:rPr>
        <w:t>,</w:t>
      </w:r>
      <w:r w:rsidR="0039462F">
        <w:rPr>
          <w:rFonts w:ascii="Calibri" w:hAnsi="Calibri" w:cs="Calibri"/>
        </w:rPr>
        <w:t xml:space="preserve"> </w:t>
      </w:r>
      <w:r w:rsidR="008F1420">
        <w:rPr>
          <w:rFonts w:ascii="Calibri" w:hAnsi="Calibri" w:cs="Calibri"/>
        </w:rPr>
        <w:t>etc.</w:t>
      </w:r>
      <w:r w:rsidR="0039462F">
        <w:rPr>
          <w:rFonts w:ascii="Calibri" w:hAnsi="Calibri" w:cs="Calibri"/>
        </w:rPr>
        <w:t>,</w:t>
      </w:r>
      <w:r>
        <w:rPr>
          <w:rFonts w:ascii="Calibri" w:hAnsi="Calibri" w:cs="Calibri" w:hint="eastAsia"/>
        </w:rPr>
        <w:t xml:space="preserve"> </w:t>
      </w:r>
      <w:r w:rsidRPr="00DA45D6">
        <w:rPr>
          <w:rFonts w:ascii="Calibri" w:hAnsi="Calibri" w:cs="Calibri"/>
        </w:rPr>
        <w:t>would bring this policy objective to life and ensure optimal spectrum reuse while protecting incumbents.</w:t>
      </w:r>
    </w:p>
    <w:p w14:paraId="06FF7EE3" w14:textId="77777777" w:rsidR="00BB32C5" w:rsidRPr="003253AE" w:rsidRDefault="00BB32C5" w:rsidP="003253AE">
      <w:pPr>
        <w:jc w:val="both"/>
        <w:rPr>
          <w:rFonts w:ascii="Calibri" w:hAnsi="Calibri" w:cs="Calibri"/>
        </w:rPr>
      </w:pPr>
    </w:p>
    <w:p w14:paraId="7089EA4A" w14:textId="2F8F0281" w:rsidR="003253AE" w:rsidRPr="003253AE" w:rsidRDefault="00667525" w:rsidP="00174D6F">
      <w:pPr>
        <w:ind w:leftChars="200" w:left="440"/>
        <w:jc w:val="both"/>
        <w:rPr>
          <w:rFonts w:ascii="Calibri" w:hAnsi="Calibri" w:cs="Calibri"/>
          <w:b/>
          <w:bCs/>
        </w:rPr>
      </w:pPr>
      <w:r>
        <w:rPr>
          <w:rFonts w:ascii="Calibri" w:hAnsi="Calibri" w:cs="Calibri"/>
          <w:b/>
          <w:bCs/>
        </w:rPr>
        <w:t>D</w:t>
      </w:r>
      <w:r w:rsidR="003253AE" w:rsidRPr="003253AE">
        <w:rPr>
          <w:rFonts w:ascii="Calibri" w:hAnsi="Calibri" w:cs="Calibri"/>
          <w:b/>
          <w:bCs/>
        </w:rPr>
        <w:t xml:space="preserve">. </w:t>
      </w:r>
      <w:r w:rsidR="002D12AF">
        <w:rPr>
          <w:rFonts w:ascii="Calibri" w:hAnsi="Calibri" w:cs="Calibri"/>
          <w:b/>
          <w:bCs/>
        </w:rPr>
        <w:t>Maximum Permitted Antenna Height AGL (Section 10)</w:t>
      </w:r>
    </w:p>
    <w:p w14:paraId="364250A0" w14:textId="5B218388" w:rsidR="00092872" w:rsidRDefault="00092872" w:rsidP="003253AE">
      <w:pPr>
        <w:jc w:val="both"/>
        <w:rPr>
          <w:rFonts w:ascii="Calibri" w:hAnsi="Calibri" w:cs="Calibri"/>
        </w:rPr>
      </w:pPr>
      <w:r>
        <w:rPr>
          <w:rFonts w:ascii="Calibri" w:hAnsi="Calibri" w:cs="Calibri"/>
        </w:rPr>
        <w:t>A</w:t>
      </w:r>
      <w:r w:rsidR="007A7CE6">
        <w:rPr>
          <w:rFonts w:ascii="Calibri" w:hAnsi="Calibri" w:cs="Calibri"/>
        </w:rPr>
        <w:t xml:space="preserve"> fully dynamic approach</w:t>
      </w:r>
      <w:r w:rsidR="007F3A57">
        <w:rPr>
          <w:rFonts w:ascii="Calibri" w:hAnsi="Calibri" w:cs="Calibri"/>
        </w:rPr>
        <w:t xml:space="preserve"> obviates the need</w:t>
      </w:r>
      <w:r w:rsidR="0009041C">
        <w:rPr>
          <w:rFonts w:ascii="Calibri" w:hAnsi="Calibri" w:cs="Calibri"/>
        </w:rPr>
        <w:t xml:space="preserve"> for ICASA </w:t>
      </w:r>
      <w:r w:rsidR="002D2ED8">
        <w:rPr>
          <w:rFonts w:ascii="Calibri" w:hAnsi="Calibri" w:cs="Calibri"/>
        </w:rPr>
        <w:t>to limit the maximum permitted antenna height</w:t>
      </w:r>
      <w:r w:rsidR="00E65369">
        <w:rPr>
          <w:rFonts w:ascii="Calibri" w:hAnsi="Calibri" w:cs="Calibri"/>
        </w:rPr>
        <w:t xml:space="preserve"> </w:t>
      </w:r>
      <w:r w:rsidR="00933769">
        <w:rPr>
          <w:rFonts w:ascii="Calibri" w:hAnsi="Calibri" w:cs="Calibri"/>
        </w:rPr>
        <w:t>in</w:t>
      </w:r>
      <w:r w:rsidR="00E65369">
        <w:rPr>
          <w:rFonts w:ascii="Calibri" w:hAnsi="Calibri" w:cs="Calibri"/>
        </w:rPr>
        <w:t xml:space="preserve"> both I</w:t>
      </w:r>
      <w:r w:rsidR="00933769">
        <w:rPr>
          <w:rFonts w:ascii="Calibri" w:hAnsi="Calibri" w:cs="Calibri"/>
        </w:rPr>
        <w:t>SFR1 and ISFR2.</w:t>
      </w:r>
      <w:r w:rsidR="006F0C15">
        <w:rPr>
          <w:rFonts w:ascii="Calibri" w:hAnsi="Calibri" w:cs="Calibri"/>
        </w:rPr>
        <w:t xml:space="preserve"> The USS wil</w:t>
      </w:r>
      <w:r w:rsidR="00562513">
        <w:rPr>
          <w:rFonts w:ascii="Calibri" w:hAnsi="Calibri" w:cs="Calibri"/>
        </w:rPr>
        <w:t>l use the antenna height as an input parameter to determine the available channels and the maxim</w:t>
      </w:r>
      <w:r w:rsidR="00151088">
        <w:rPr>
          <w:rFonts w:ascii="Calibri" w:hAnsi="Calibri" w:cs="Calibri"/>
        </w:rPr>
        <w:t>um power on each available channel for that location.</w:t>
      </w:r>
    </w:p>
    <w:p w14:paraId="3CFAB98D" w14:textId="04FE563D" w:rsidR="00781D57" w:rsidRDefault="003253AE" w:rsidP="00FE579A">
      <w:pPr>
        <w:jc w:val="both"/>
        <w:rPr>
          <w:rFonts w:ascii="Calibri" w:hAnsi="Calibri" w:cs="Calibri"/>
        </w:rPr>
      </w:pPr>
      <w:r w:rsidRPr="003253AE">
        <w:rPr>
          <w:rFonts w:ascii="Calibri" w:hAnsi="Calibri" w:cs="Calibri"/>
        </w:rPr>
        <w:t xml:space="preserve">The current proposal limits tower height to 30 meters, a constraint that may be unnecessarily limiting, especially in rural and underserved areas where taller infrastructure is often needed to provide </w:t>
      </w:r>
      <w:r w:rsidRPr="003253AE">
        <w:rPr>
          <w:rFonts w:ascii="Calibri" w:hAnsi="Calibri" w:cs="Calibri"/>
        </w:rPr>
        <w:lastRenderedPageBreak/>
        <w:t xml:space="preserve">broader coverage. </w:t>
      </w:r>
      <w:r w:rsidR="00B32EF8">
        <w:rPr>
          <w:rFonts w:ascii="Calibri" w:hAnsi="Calibri" w:cs="Calibri" w:hint="eastAsia"/>
        </w:rPr>
        <w:t>The DSA</w:t>
      </w:r>
      <w:r w:rsidRPr="003253AE">
        <w:rPr>
          <w:rFonts w:ascii="Calibri" w:hAnsi="Calibri" w:cs="Calibri"/>
        </w:rPr>
        <w:t xml:space="preserve"> suggest</w:t>
      </w:r>
      <w:r w:rsidR="00BB32C5">
        <w:rPr>
          <w:rFonts w:ascii="Calibri" w:hAnsi="Calibri" w:cs="Calibri"/>
        </w:rPr>
        <w:t>s</w:t>
      </w:r>
      <w:r w:rsidRPr="003253AE">
        <w:rPr>
          <w:rFonts w:ascii="Calibri" w:hAnsi="Calibri" w:cs="Calibri"/>
        </w:rPr>
        <w:t xml:space="preserve"> that ICASA consider geographic flexibility in tower height regulation, allowing installations</w:t>
      </w:r>
      <w:r w:rsidR="00846F05">
        <w:rPr>
          <w:rFonts w:ascii="Calibri" w:hAnsi="Calibri" w:cs="Calibri"/>
        </w:rPr>
        <w:t xml:space="preserve"> with greater ant</w:t>
      </w:r>
      <w:r w:rsidR="0010365E">
        <w:rPr>
          <w:rFonts w:ascii="Calibri" w:hAnsi="Calibri" w:cs="Calibri"/>
        </w:rPr>
        <w:t>enna heights</w:t>
      </w:r>
      <w:r w:rsidRPr="003253AE">
        <w:rPr>
          <w:rFonts w:ascii="Calibri" w:hAnsi="Calibri" w:cs="Calibri"/>
        </w:rPr>
        <w:t xml:space="preserve"> in areas with minimal </w:t>
      </w:r>
      <w:r w:rsidR="00BB32C5">
        <w:rPr>
          <w:rFonts w:ascii="Calibri" w:hAnsi="Calibri" w:cs="Calibri"/>
        </w:rPr>
        <w:t xml:space="preserve">harmful </w:t>
      </w:r>
      <w:r w:rsidRPr="003253AE">
        <w:rPr>
          <w:rFonts w:ascii="Calibri" w:hAnsi="Calibri" w:cs="Calibri"/>
        </w:rPr>
        <w:t>interference risk</w:t>
      </w:r>
      <w:r w:rsidR="001E761B">
        <w:rPr>
          <w:rFonts w:ascii="Calibri" w:hAnsi="Calibri" w:cs="Calibri"/>
        </w:rPr>
        <w:t xml:space="preserve"> </w:t>
      </w:r>
      <w:r w:rsidR="00AB58E0">
        <w:rPr>
          <w:rFonts w:ascii="Calibri" w:hAnsi="Calibri" w:cs="Calibri"/>
        </w:rPr>
        <w:t xml:space="preserve">as determined </w:t>
      </w:r>
      <w:r w:rsidR="001D3633">
        <w:rPr>
          <w:rFonts w:ascii="Calibri" w:hAnsi="Calibri" w:cs="Calibri"/>
        </w:rPr>
        <w:t>by the USS</w:t>
      </w:r>
      <w:r w:rsidRPr="003253AE">
        <w:rPr>
          <w:rFonts w:ascii="Calibri" w:hAnsi="Calibri" w:cs="Calibri"/>
        </w:rPr>
        <w:t>. This would enable more effective deployments for community networks, backhaul, and rural broadband, aligning with South Africa’s broader universal service objectives</w:t>
      </w:r>
      <w:r w:rsidR="00BB32C5">
        <w:rPr>
          <w:rFonts w:ascii="Calibri" w:hAnsi="Calibri" w:cs="Calibri"/>
        </w:rPr>
        <w:t xml:space="preserve"> described in Section 2</w:t>
      </w:r>
      <w:r w:rsidRPr="003253AE">
        <w:rPr>
          <w:rFonts w:ascii="Calibri" w:hAnsi="Calibri" w:cs="Calibri"/>
        </w:rPr>
        <w:t>.</w:t>
      </w:r>
    </w:p>
    <w:p w14:paraId="55E3843D" w14:textId="77777777" w:rsidR="00781D57" w:rsidRPr="00A42A66" w:rsidRDefault="00781D57" w:rsidP="003253AE">
      <w:pPr>
        <w:jc w:val="both"/>
        <w:rPr>
          <w:rFonts w:ascii="Calibri" w:hAnsi="Calibri" w:cs="Calibri"/>
        </w:rPr>
      </w:pPr>
    </w:p>
    <w:p w14:paraId="05F28992" w14:textId="2DDF181A" w:rsidR="00632050" w:rsidRPr="003253AE" w:rsidRDefault="00667525" w:rsidP="00FE579A">
      <w:pPr>
        <w:jc w:val="both"/>
        <w:rPr>
          <w:rFonts w:ascii="Calibri" w:hAnsi="Calibri" w:cs="Calibri"/>
          <w:b/>
          <w:bCs/>
        </w:rPr>
      </w:pPr>
      <w:r>
        <w:rPr>
          <w:rFonts w:ascii="Calibri" w:hAnsi="Calibri" w:cs="Calibri"/>
          <w:b/>
          <w:bCs/>
        </w:rPr>
        <w:t>E</w:t>
      </w:r>
      <w:r w:rsidR="00632050" w:rsidRPr="003253AE">
        <w:rPr>
          <w:rFonts w:ascii="Calibri" w:hAnsi="Calibri" w:cs="Calibri"/>
          <w:b/>
          <w:bCs/>
        </w:rPr>
        <w:t xml:space="preserve">. </w:t>
      </w:r>
      <w:r w:rsidR="00632050">
        <w:rPr>
          <w:rFonts w:ascii="Calibri" w:hAnsi="Calibri" w:cs="Calibri"/>
          <w:b/>
          <w:bCs/>
        </w:rPr>
        <w:t>Measures to Prevent Harmful Interference (Section 11)</w:t>
      </w:r>
    </w:p>
    <w:p w14:paraId="28F99B97" w14:textId="5ABC831A" w:rsidR="001752C6" w:rsidRDefault="004B45EC" w:rsidP="007D767F">
      <w:pPr>
        <w:jc w:val="both"/>
        <w:rPr>
          <w:rFonts w:ascii="Calibri" w:hAnsi="Calibri" w:cs="Calibri"/>
        </w:rPr>
      </w:pPr>
      <w:r>
        <w:rPr>
          <w:rFonts w:ascii="Calibri" w:hAnsi="Calibri" w:cs="Calibri"/>
        </w:rPr>
        <w:t>T</w:t>
      </w:r>
      <w:r w:rsidR="00FA795D">
        <w:rPr>
          <w:rFonts w:ascii="Calibri" w:hAnsi="Calibri" w:cs="Calibri"/>
        </w:rPr>
        <w:t xml:space="preserve">o improve readability, the </w:t>
      </w:r>
      <w:r>
        <w:rPr>
          <w:rFonts w:ascii="Calibri" w:hAnsi="Calibri" w:cs="Calibri"/>
        </w:rPr>
        <w:t>DSA suggest</w:t>
      </w:r>
      <w:r w:rsidR="00547619">
        <w:rPr>
          <w:rFonts w:ascii="Calibri" w:hAnsi="Calibri" w:cs="Calibri"/>
        </w:rPr>
        <w:t>s</w:t>
      </w:r>
      <w:r>
        <w:rPr>
          <w:rFonts w:ascii="Calibri" w:hAnsi="Calibri" w:cs="Calibri"/>
        </w:rPr>
        <w:t xml:space="preserve"> that ICASA </w:t>
      </w:r>
      <w:r w:rsidR="00D727D0">
        <w:rPr>
          <w:rFonts w:ascii="Calibri" w:hAnsi="Calibri" w:cs="Calibri"/>
        </w:rPr>
        <w:t xml:space="preserve">redrafts the section to </w:t>
      </w:r>
      <w:r w:rsidR="00547619">
        <w:rPr>
          <w:rFonts w:ascii="Calibri" w:hAnsi="Calibri" w:cs="Calibri"/>
        </w:rPr>
        <w:t xml:space="preserve">make clear to the reader which requirements </w:t>
      </w:r>
      <w:r w:rsidR="002217E4">
        <w:rPr>
          <w:rFonts w:ascii="Calibri" w:hAnsi="Calibri" w:cs="Calibri"/>
        </w:rPr>
        <w:t>app</w:t>
      </w:r>
      <w:r w:rsidR="00DB524C">
        <w:rPr>
          <w:rFonts w:ascii="Calibri" w:hAnsi="Calibri" w:cs="Calibri"/>
        </w:rPr>
        <w:t xml:space="preserve">ly to ISFR1, which requirements apply to ISFR-2, </w:t>
      </w:r>
      <w:r w:rsidR="00FA795D">
        <w:rPr>
          <w:rFonts w:ascii="Calibri" w:hAnsi="Calibri" w:cs="Calibri"/>
        </w:rPr>
        <w:t xml:space="preserve">and which requirements apply to both bands. </w:t>
      </w:r>
      <w:r w:rsidR="005A3937">
        <w:rPr>
          <w:rFonts w:ascii="Calibri" w:hAnsi="Calibri" w:cs="Calibri"/>
        </w:rPr>
        <w:t>This include</w:t>
      </w:r>
      <w:r w:rsidR="00AC7BD7">
        <w:rPr>
          <w:rFonts w:ascii="Calibri" w:hAnsi="Calibri" w:cs="Calibri"/>
        </w:rPr>
        <w:t xml:space="preserve">s </w:t>
      </w:r>
      <w:r w:rsidR="003224CB">
        <w:rPr>
          <w:rFonts w:ascii="Calibri" w:hAnsi="Calibri" w:cs="Calibri"/>
        </w:rPr>
        <w:t xml:space="preserve">registration </w:t>
      </w:r>
      <w:r w:rsidR="00AC7BD7">
        <w:rPr>
          <w:rFonts w:ascii="Calibri" w:hAnsi="Calibri" w:cs="Calibri"/>
        </w:rPr>
        <w:t>information to be provided by the incumbent seeking protection.</w:t>
      </w:r>
      <w:r w:rsidR="00C572FC">
        <w:rPr>
          <w:rFonts w:ascii="Calibri" w:hAnsi="Calibri" w:cs="Calibri"/>
        </w:rPr>
        <w:t xml:space="preserve"> </w:t>
      </w:r>
      <w:r w:rsidR="0022420D">
        <w:rPr>
          <w:rFonts w:ascii="Calibri" w:hAnsi="Calibri" w:cs="Calibri"/>
        </w:rPr>
        <w:t xml:space="preserve">Administrations that have authorized </w:t>
      </w:r>
      <w:r w:rsidR="003D19FA">
        <w:rPr>
          <w:rFonts w:ascii="Calibri" w:hAnsi="Calibri" w:cs="Calibri"/>
        </w:rPr>
        <w:t>outdoor license-exempt operations at up to 36 dBm</w:t>
      </w:r>
      <w:r w:rsidR="001561DC">
        <w:rPr>
          <w:rFonts w:ascii="Calibri" w:hAnsi="Calibri" w:cs="Calibri"/>
        </w:rPr>
        <w:t xml:space="preserve"> in the 5925-6425 MHz</w:t>
      </w:r>
      <w:r w:rsidR="00C0313D">
        <w:rPr>
          <w:rFonts w:ascii="Calibri" w:hAnsi="Calibri" w:cs="Calibri"/>
        </w:rPr>
        <w:t xml:space="preserve"> band</w:t>
      </w:r>
      <w:r w:rsidR="001561DC">
        <w:rPr>
          <w:rFonts w:ascii="Calibri" w:hAnsi="Calibri" w:cs="Calibri"/>
        </w:rPr>
        <w:t xml:space="preserve"> have determined that the only additional mitigation necessary to protect the FSS uplink</w:t>
      </w:r>
      <w:r w:rsidR="000A78A2">
        <w:rPr>
          <w:rFonts w:ascii="Calibri" w:hAnsi="Calibri" w:cs="Calibri"/>
        </w:rPr>
        <w:t xml:space="preserve"> is an emissions mas</w:t>
      </w:r>
      <w:r w:rsidR="00C0313D">
        <w:rPr>
          <w:rFonts w:ascii="Calibri" w:hAnsi="Calibri" w:cs="Calibri"/>
        </w:rPr>
        <w:t>k</w:t>
      </w:r>
      <w:r w:rsidR="001B790A">
        <w:rPr>
          <w:rFonts w:ascii="Calibri" w:hAnsi="Calibri" w:cs="Calibri"/>
        </w:rPr>
        <w:t xml:space="preserve"> for the master device that limits the power transmitted above a certain angle to the horizon</w:t>
      </w:r>
      <w:r w:rsidR="00C0313D">
        <w:rPr>
          <w:rFonts w:ascii="Calibri" w:hAnsi="Calibri" w:cs="Calibri"/>
        </w:rPr>
        <w:t>.</w:t>
      </w:r>
      <w:r w:rsidR="008E100F">
        <w:rPr>
          <w:rFonts w:ascii="Calibri" w:hAnsi="Calibri" w:cs="Calibri"/>
        </w:rPr>
        <w:t xml:space="preserve"> One </w:t>
      </w:r>
      <w:r w:rsidR="00205289">
        <w:rPr>
          <w:rFonts w:ascii="Calibri" w:hAnsi="Calibri" w:cs="Calibri"/>
        </w:rPr>
        <w:t>reading of paragraph (2)</w:t>
      </w:r>
      <w:r w:rsidR="00A3064A">
        <w:rPr>
          <w:rFonts w:ascii="Calibri" w:hAnsi="Calibri" w:cs="Calibri"/>
        </w:rPr>
        <w:t xml:space="preserve"> is that </w:t>
      </w:r>
      <w:r w:rsidR="00DC2FF5">
        <w:rPr>
          <w:rFonts w:ascii="Calibri" w:hAnsi="Calibri" w:cs="Calibri"/>
        </w:rPr>
        <w:t xml:space="preserve">an </w:t>
      </w:r>
      <w:r w:rsidR="00A3064A">
        <w:rPr>
          <w:rFonts w:ascii="Calibri" w:hAnsi="Calibri" w:cs="Calibri"/>
        </w:rPr>
        <w:t xml:space="preserve">FSS </w:t>
      </w:r>
      <w:r w:rsidR="002123A1">
        <w:rPr>
          <w:rFonts w:ascii="Calibri" w:hAnsi="Calibri" w:cs="Calibri"/>
        </w:rPr>
        <w:t xml:space="preserve">operator could register </w:t>
      </w:r>
      <w:r w:rsidR="001A1E2B">
        <w:rPr>
          <w:rFonts w:ascii="Calibri" w:hAnsi="Calibri" w:cs="Calibri"/>
        </w:rPr>
        <w:t xml:space="preserve">an </w:t>
      </w:r>
      <w:r w:rsidR="00A3064A">
        <w:rPr>
          <w:rFonts w:ascii="Calibri" w:hAnsi="Calibri" w:cs="Calibri"/>
        </w:rPr>
        <w:t>uplink</w:t>
      </w:r>
      <w:r w:rsidR="00E11A59">
        <w:rPr>
          <w:rFonts w:ascii="Calibri" w:hAnsi="Calibri" w:cs="Calibri"/>
        </w:rPr>
        <w:t xml:space="preserve"> operating </w:t>
      </w:r>
      <w:r w:rsidR="002123A1">
        <w:rPr>
          <w:rFonts w:ascii="Calibri" w:hAnsi="Calibri" w:cs="Calibri"/>
        </w:rPr>
        <w:t>in ISFR-2</w:t>
      </w:r>
      <w:r w:rsidR="00583AC2">
        <w:rPr>
          <w:rFonts w:ascii="Calibri" w:hAnsi="Calibri" w:cs="Calibri"/>
        </w:rPr>
        <w:t xml:space="preserve"> </w:t>
      </w:r>
      <w:r w:rsidR="00E851B6">
        <w:rPr>
          <w:rFonts w:ascii="Calibri" w:hAnsi="Calibri" w:cs="Calibri"/>
        </w:rPr>
        <w:t xml:space="preserve">to </w:t>
      </w:r>
      <w:r w:rsidR="00583AC2">
        <w:rPr>
          <w:rFonts w:ascii="Calibri" w:hAnsi="Calibri" w:cs="Calibri"/>
        </w:rPr>
        <w:t>seek additional protections</w:t>
      </w:r>
      <w:r w:rsidR="000C0C65">
        <w:rPr>
          <w:rFonts w:ascii="Calibri" w:hAnsi="Calibri" w:cs="Calibri"/>
        </w:rPr>
        <w:t>, which has been determined through technical studies</w:t>
      </w:r>
      <w:r w:rsidR="00583AC2">
        <w:rPr>
          <w:rFonts w:ascii="Calibri" w:hAnsi="Calibri" w:cs="Calibri"/>
        </w:rPr>
        <w:t xml:space="preserve"> </w:t>
      </w:r>
      <w:r w:rsidR="00E851B6">
        <w:rPr>
          <w:rFonts w:ascii="Calibri" w:hAnsi="Calibri" w:cs="Calibri"/>
        </w:rPr>
        <w:t xml:space="preserve">submitted in the proceedings of other </w:t>
      </w:r>
      <w:r w:rsidR="00FF7AA2">
        <w:rPr>
          <w:rFonts w:ascii="Calibri" w:hAnsi="Calibri" w:cs="Calibri"/>
        </w:rPr>
        <w:t>Administrations</w:t>
      </w:r>
      <w:r w:rsidR="00E851B6">
        <w:rPr>
          <w:rFonts w:ascii="Calibri" w:hAnsi="Calibri" w:cs="Calibri"/>
        </w:rPr>
        <w:t xml:space="preserve"> </w:t>
      </w:r>
      <w:r w:rsidR="00583AC2">
        <w:rPr>
          <w:rFonts w:ascii="Calibri" w:hAnsi="Calibri" w:cs="Calibri"/>
        </w:rPr>
        <w:t>as not being necessary at the proposed authorized EIRP limits.</w:t>
      </w:r>
    </w:p>
    <w:p w14:paraId="69C985D3" w14:textId="12F3172E" w:rsidR="007D767F" w:rsidRDefault="00AA525D" w:rsidP="007D767F">
      <w:pPr>
        <w:jc w:val="both"/>
        <w:rPr>
          <w:rFonts w:ascii="Calibri" w:hAnsi="Calibri" w:cs="Calibri"/>
        </w:rPr>
      </w:pPr>
      <w:r>
        <w:rPr>
          <w:rFonts w:ascii="Calibri" w:hAnsi="Calibri" w:cs="Calibri"/>
        </w:rPr>
        <w:t xml:space="preserve">ICASA </w:t>
      </w:r>
      <w:r w:rsidR="007D767F">
        <w:rPr>
          <w:rFonts w:ascii="Calibri" w:hAnsi="Calibri" w:cs="Calibri"/>
        </w:rPr>
        <w:t xml:space="preserve">should </w:t>
      </w:r>
      <w:r w:rsidR="00FF7AA2">
        <w:rPr>
          <w:rFonts w:ascii="Calibri" w:hAnsi="Calibri" w:cs="Calibri"/>
        </w:rPr>
        <w:t xml:space="preserve">also </w:t>
      </w:r>
      <w:r w:rsidR="007D767F">
        <w:rPr>
          <w:rFonts w:ascii="Calibri" w:hAnsi="Calibri" w:cs="Calibri"/>
        </w:rPr>
        <w:t>clarify that out-of-block emission limits apply only to ISFR-1. In general, some of t</w:t>
      </w:r>
      <w:r w:rsidR="007D767F" w:rsidRPr="003253AE">
        <w:rPr>
          <w:rFonts w:ascii="Calibri" w:hAnsi="Calibri" w:cs="Calibri"/>
        </w:rPr>
        <w:t>he current technical parameters proposed by ICASA</w:t>
      </w:r>
      <w:r w:rsidR="007D767F">
        <w:rPr>
          <w:rFonts w:ascii="Calibri" w:hAnsi="Calibri" w:cs="Calibri" w:hint="eastAsia"/>
        </w:rPr>
        <w:t xml:space="preserve">, </w:t>
      </w:r>
      <w:r w:rsidR="007D767F" w:rsidRPr="003253AE">
        <w:rPr>
          <w:rFonts w:ascii="Calibri" w:hAnsi="Calibri" w:cs="Calibri"/>
        </w:rPr>
        <w:t>including emission masks</w:t>
      </w:r>
      <w:r w:rsidR="007D767F">
        <w:rPr>
          <w:rFonts w:ascii="Calibri" w:hAnsi="Calibri" w:cs="Calibri"/>
        </w:rPr>
        <w:t xml:space="preserve"> requirements</w:t>
      </w:r>
      <w:r w:rsidR="007D767F" w:rsidRPr="003253AE">
        <w:rPr>
          <w:rFonts w:ascii="Calibri" w:hAnsi="Calibri" w:cs="Calibri"/>
        </w:rPr>
        <w:t xml:space="preserve">, bandwidth limits, </w:t>
      </w:r>
      <w:r w:rsidR="007D767F">
        <w:rPr>
          <w:rFonts w:ascii="Calibri" w:hAnsi="Calibri" w:cs="Calibri"/>
        </w:rPr>
        <w:t xml:space="preserve">antenna heights, EIRP limits and </w:t>
      </w:r>
      <w:r w:rsidR="007D767F" w:rsidRPr="003253AE">
        <w:rPr>
          <w:rFonts w:ascii="Calibri" w:hAnsi="Calibri" w:cs="Calibri"/>
        </w:rPr>
        <w:t>certification criteria</w:t>
      </w:r>
      <w:r w:rsidR="007D767F">
        <w:rPr>
          <w:rFonts w:ascii="Calibri" w:hAnsi="Calibri" w:cs="Calibri" w:hint="eastAsia"/>
        </w:rPr>
        <w:t xml:space="preserve">, </w:t>
      </w:r>
      <w:r w:rsidR="007D767F" w:rsidRPr="003253AE">
        <w:rPr>
          <w:rFonts w:ascii="Calibri" w:hAnsi="Calibri" w:cs="Calibri"/>
        </w:rPr>
        <w:t>may deviate from globally recognized standards. Th</w:t>
      </w:r>
      <w:r w:rsidR="00667525">
        <w:rPr>
          <w:rFonts w:ascii="Calibri" w:hAnsi="Calibri" w:cs="Calibri"/>
        </w:rPr>
        <w:t>is situation</w:t>
      </w:r>
      <w:r w:rsidR="007D767F" w:rsidRPr="003253AE">
        <w:rPr>
          <w:rFonts w:ascii="Calibri" w:hAnsi="Calibri" w:cs="Calibri"/>
        </w:rPr>
        <w:t xml:space="preserve"> risks fragmenting South Africa’s device ecosystem, increasing hardware costs, and delaying deployment. To encourage participation from global vendors and reduce market barriers, </w:t>
      </w:r>
      <w:r w:rsidR="007D767F">
        <w:rPr>
          <w:rFonts w:ascii="Calibri" w:hAnsi="Calibri" w:cs="Calibri" w:hint="eastAsia"/>
        </w:rPr>
        <w:t>the DSA</w:t>
      </w:r>
      <w:r w:rsidR="007D767F" w:rsidRPr="003253AE">
        <w:rPr>
          <w:rFonts w:ascii="Calibri" w:hAnsi="Calibri" w:cs="Calibri"/>
        </w:rPr>
        <w:t xml:space="preserve"> recommend</w:t>
      </w:r>
      <w:r w:rsidR="00667525">
        <w:rPr>
          <w:rFonts w:ascii="Calibri" w:hAnsi="Calibri" w:cs="Calibri"/>
        </w:rPr>
        <w:t>s</w:t>
      </w:r>
      <w:r w:rsidR="007D767F" w:rsidRPr="003253AE">
        <w:rPr>
          <w:rFonts w:ascii="Calibri" w:hAnsi="Calibri" w:cs="Calibri"/>
        </w:rPr>
        <w:t xml:space="preserve"> that ICASA align</w:t>
      </w:r>
      <w:r w:rsidR="00667525">
        <w:rPr>
          <w:rFonts w:ascii="Calibri" w:hAnsi="Calibri" w:cs="Calibri"/>
        </w:rPr>
        <w:t>s</w:t>
      </w:r>
      <w:r w:rsidR="007D767F" w:rsidRPr="003253AE">
        <w:rPr>
          <w:rFonts w:ascii="Calibri" w:hAnsi="Calibri" w:cs="Calibri"/>
        </w:rPr>
        <w:t xml:space="preserve"> its technical framework with well-established models </w:t>
      </w:r>
      <w:r w:rsidR="00667525">
        <w:rPr>
          <w:rFonts w:ascii="Calibri" w:hAnsi="Calibri" w:cs="Calibri"/>
        </w:rPr>
        <w:t>or standards</w:t>
      </w:r>
      <w:r w:rsidR="00541D76">
        <w:rPr>
          <w:rFonts w:ascii="Calibri" w:hAnsi="Calibri" w:cs="Calibri"/>
        </w:rPr>
        <w:t>.</w:t>
      </w:r>
      <w:r w:rsidR="00667525">
        <w:rPr>
          <w:rFonts w:ascii="Calibri" w:hAnsi="Calibri" w:cs="Calibri"/>
        </w:rPr>
        <w:t xml:space="preserve"> </w:t>
      </w:r>
      <w:r w:rsidR="007D767F" w:rsidRPr="003253AE">
        <w:rPr>
          <w:rFonts w:ascii="Calibri" w:hAnsi="Calibri" w:cs="Calibri"/>
        </w:rPr>
        <w:t xml:space="preserve">Such alignment </w:t>
      </w:r>
      <w:r w:rsidR="00667525">
        <w:rPr>
          <w:rFonts w:ascii="Calibri" w:hAnsi="Calibri" w:cs="Calibri"/>
        </w:rPr>
        <w:t xml:space="preserve">would </w:t>
      </w:r>
      <w:r w:rsidR="007D767F" w:rsidRPr="003253AE">
        <w:rPr>
          <w:rFonts w:ascii="Calibri" w:hAnsi="Calibri" w:cs="Calibri"/>
        </w:rPr>
        <w:t xml:space="preserve">ensure economies of scale and facilitate </w:t>
      </w:r>
      <w:r w:rsidR="00667525">
        <w:rPr>
          <w:rFonts w:ascii="Calibri" w:hAnsi="Calibri" w:cs="Calibri"/>
        </w:rPr>
        <w:t xml:space="preserve">affordability and </w:t>
      </w:r>
      <w:r w:rsidR="007D767F" w:rsidRPr="003253AE">
        <w:rPr>
          <w:rFonts w:ascii="Calibri" w:hAnsi="Calibri" w:cs="Calibri"/>
        </w:rPr>
        <w:t>rapid introduction of new technologies.</w:t>
      </w:r>
    </w:p>
    <w:p w14:paraId="0A591EF6" w14:textId="77777777" w:rsidR="007D767F" w:rsidRDefault="007D767F" w:rsidP="003253AE">
      <w:pPr>
        <w:jc w:val="both"/>
        <w:rPr>
          <w:rFonts w:ascii="Calibri" w:hAnsi="Calibri" w:cs="Calibri"/>
        </w:rPr>
      </w:pPr>
    </w:p>
    <w:p w14:paraId="0E586766" w14:textId="77777777" w:rsidR="00632050" w:rsidRPr="003253AE" w:rsidRDefault="00632050" w:rsidP="00632050">
      <w:pPr>
        <w:ind w:leftChars="200" w:left="440"/>
        <w:jc w:val="both"/>
        <w:rPr>
          <w:rFonts w:ascii="Calibri" w:hAnsi="Calibri" w:cs="Calibri"/>
          <w:b/>
          <w:bCs/>
        </w:rPr>
      </w:pPr>
      <w:r w:rsidRPr="003253AE">
        <w:rPr>
          <w:rFonts w:ascii="Calibri" w:hAnsi="Calibri" w:cs="Calibri"/>
          <w:b/>
          <w:bCs/>
        </w:rPr>
        <w:t xml:space="preserve">F. Interference </w:t>
      </w:r>
      <w:r>
        <w:rPr>
          <w:rFonts w:ascii="Calibri" w:hAnsi="Calibri" w:cs="Calibri"/>
          <w:b/>
          <w:bCs/>
        </w:rPr>
        <w:t>Mitigation Protocol (Section 12)</w:t>
      </w:r>
    </w:p>
    <w:p w14:paraId="5B9B1EE1" w14:textId="592049DB" w:rsidR="007D767F" w:rsidRDefault="007D767F" w:rsidP="007D767F">
      <w:pPr>
        <w:jc w:val="both"/>
        <w:rPr>
          <w:rFonts w:ascii="Calibri" w:hAnsi="Calibri" w:cs="Calibri"/>
        </w:rPr>
      </w:pPr>
      <w:r w:rsidRPr="003253AE">
        <w:rPr>
          <w:rFonts w:ascii="Calibri" w:hAnsi="Calibri" w:cs="Calibri"/>
        </w:rPr>
        <w:t>The success of any automated spectrum sharing framework relies heavily on the availability of accurate, up-to-date incumbent data.</w:t>
      </w:r>
      <w:r>
        <w:rPr>
          <w:rFonts w:ascii="Calibri" w:hAnsi="Calibri" w:cs="Calibri" w:hint="eastAsia"/>
        </w:rPr>
        <w:t xml:space="preserve"> The</w:t>
      </w:r>
      <w:r w:rsidRPr="003253AE">
        <w:rPr>
          <w:rFonts w:ascii="Calibri" w:hAnsi="Calibri" w:cs="Calibri"/>
        </w:rPr>
        <w:t xml:space="preserve"> DSA supports ICASA’s initiative to require incumbent registration</w:t>
      </w:r>
      <w:r>
        <w:rPr>
          <w:rFonts w:ascii="Calibri" w:hAnsi="Calibri" w:cs="Calibri"/>
        </w:rPr>
        <w:t xml:space="preserve"> (Section 11(a) and 11(b))</w:t>
      </w:r>
      <w:r w:rsidRPr="003253AE">
        <w:rPr>
          <w:rFonts w:ascii="Calibri" w:hAnsi="Calibri" w:cs="Calibri"/>
        </w:rPr>
        <w:t xml:space="preserve"> but emphasizes that data submission </w:t>
      </w:r>
      <w:r>
        <w:rPr>
          <w:rFonts w:ascii="Calibri" w:hAnsi="Calibri" w:cs="Calibri" w:hint="eastAsia"/>
        </w:rPr>
        <w:t xml:space="preserve">should </w:t>
      </w:r>
      <w:r w:rsidRPr="003253AE">
        <w:rPr>
          <w:rFonts w:ascii="Calibri" w:hAnsi="Calibri" w:cs="Calibri"/>
        </w:rPr>
        <w:t xml:space="preserve">be mandatory and enforceable, with deadlines and consequences for non-compliance. </w:t>
      </w:r>
      <w:r>
        <w:rPr>
          <w:rFonts w:ascii="Calibri" w:hAnsi="Calibri" w:cs="Calibri" w:hint="eastAsia"/>
        </w:rPr>
        <w:t>The DSA recommend</w:t>
      </w:r>
      <w:r>
        <w:rPr>
          <w:rFonts w:ascii="Calibri" w:hAnsi="Calibri" w:cs="Calibri"/>
        </w:rPr>
        <w:t>s</w:t>
      </w:r>
      <w:r w:rsidRPr="003253AE">
        <w:rPr>
          <w:rFonts w:ascii="Calibri" w:hAnsi="Calibri" w:cs="Calibri"/>
        </w:rPr>
        <w:t xml:space="preserve"> that the USS include auditing features to verify incumbent data accuracy and promote transparency in spectrum coordination decisions.</w:t>
      </w:r>
    </w:p>
    <w:p w14:paraId="70835ACA" w14:textId="7C8E4BA4" w:rsidR="00632050" w:rsidRDefault="00632050" w:rsidP="00632050">
      <w:pPr>
        <w:jc w:val="both"/>
        <w:rPr>
          <w:rFonts w:ascii="Calibri" w:hAnsi="Calibri" w:cs="Calibri"/>
        </w:rPr>
      </w:pPr>
      <w:r>
        <w:rPr>
          <w:rFonts w:ascii="Calibri" w:hAnsi="Calibri" w:cs="Calibri"/>
        </w:rPr>
        <w:t>T</w:t>
      </w:r>
      <w:r w:rsidRPr="003253AE">
        <w:rPr>
          <w:rFonts w:ascii="Calibri" w:hAnsi="Calibri" w:cs="Calibri"/>
        </w:rPr>
        <w:t>he draft framework mandates immediate shutdown of devices if interference to incumbents is reported</w:t>
      </w:r>
      <w:r>
        <w:rPr>
          <w:rFonts w:ascii="Calibri" w:hAnsi="Calibri" w:cs="Calibri" w:hint="eastAsia"/>
        </w:rPr>
        <w:t xml:space="preserve">, </w:t>
      </w:r>
      <w:r w:rsidRPr="003253AE">
        <w:rPr>
          <w:rFonts w:ascii="Calibri" w:hAnsi="Calibri" w:cs="Calibri"/>
        </w:rPr>
        <w:t xml:space="preserve">regardless of whether the interference claim is substantiated. This places undue operational risk on spectrum users, especially if the incumbent data within the USS is inaccurate or outdated. </w:t>
      </w:r>
      <w:r>
        <w:rPr>
          <w:rFonts w:ascii="Calibri" w:hAnsi="Calibri" w:cs="Calibri" w:hint="eastAsia"/>
        </w:rPr>
        <w:t xml:space="preserve">The </w:t>
      </w:r>
      <w:r w:rsidRPr="003253AE">
        <w:rPr>
          <w:rFonts w:ascii="Calibri" w:hAnsi="Calibri" w:cs="Calibri"/>
        </w:rPr>
        <w:t xml:space="preserve">DSA urges ICASA to </w:t>
      </w:r>
      <w:r>
        <w:rPr>
          <w:rFonts w:ascii="Calibri" w:hAnsi="Calibri" w:cs="Calibri"/>
        </w:rPr>
        <w:t xml:space="preserve">clarify in section 12(2) that identification of harmful interference requires interference claims to be substantiated and can be determined after </w:t>
      </w:r>
      <w:r w:rsidRPr="003253AE">
        <w:rPr>
          <w:rFonts w:ascii="Calibri" w:hAnsi="Calibri" w:cs="Calibri"/>
        </w:rPr>
        <w:t>an investigation, followed by appropriate mitigation or enforcement action if necessary. Additionally, mechanisms should be established to penalize false or incomplete incumbent data submissions, as errors in the database may unjustly harm compliant operators.</w:t>
      </w:r>
    </w:p>
    <w:p w14:paraId="4E8A7EFE" w14:textId="77777777" w:rsidR="00632050" w:rsidRDefault="00632050" w:rsidP="003253AE">
      <w:pPr>
        <w:jc w:val="both"/>
        <w:rPr>
          <w:rFonts w:ascii="Calibri" w:hAnsi="Calibri" w:cs="Calibri"/>
        </w:rPr>
      </w:pPr>
    </w:p>
    <w:p w14:paraId="785383F4" w14:textId="77777777" w:rsidR="00DC778E" w:rsidRDefault="00DC778E" w:rsidP="003253AE">
      <w:pPr>
        <w:jc w:val="both"/>
        <w:rPr>
          <w:rFonts w:ascii="Calibri" w:hAnsi="Calibri" w:cs="Calibri"/>
        </w:rPr>
      </w:pPr>
    </w:p>
    <w:p w14:paraId="3789173E" w14:textId="0C608918" w:rsidR="002D12AF" w:rsidRPr="003253AE" w:rsidRDefault="00667525" w:rsidP="002D12AF">
      <w:pPr>
        <w:ind w:leftChars="200" w:left="440"/>
        <w:jc w:val="both"/>
        <w:rPr>
          <w:rFonts w:ascii="Calibri" w:hAnsi="Calibri" w:cs="Calibri"/>
          <w:b/>
          <w:bCs/>
        </w:rPr>
      </w:pPr>
      <w:r>
        <w:rPr>
          <w:rFonts w:ascii="Calibri" w:hAnsi="Calibri" w:cs="Calibri"/>
          <w:b/>
          <w:bCs/>
        </w:rPr>
        <w:lastRenderedPageBreak/>
        <w:t>G</w:t>
      </w:r>
      <w:r w:rsidR="002D12AF" w:rsidRPr="003253AE">
        <w:rPr>
          <w:rFonts w:ascii="Calibri" w:hAnsi="Calibri" w:cs="Calibri"/>
          <w:b/>
          <w:bCs/>
        </w:rPr>
        <w:t xml:space="preserve">. </w:t>
      </w:r>
      <w:r w:rsidR="002D12AF">
        <w:rPr>
          <w:rFonts w:ascii="Calibri" w:hAnsi="Calibri" w:cs="Calibri"/>
          <w:b/>
          <w:bCs/>
        </w:rPr>
        <w:t>Responsibilities of the Designated Unified Spectrum Switch Provider (Section 13)</w:t>
      </w:r>
    </w:p>
    <w:p w14:paraId="214D6B6F" w14:textId="77777777" w:rsidR="002D12AF" w:rsidRDefault="002D12AF" w:rsidP="002D12AF">
      <w:pPr>
        <w:jc w:val="both"/>
        <w:rPr>
          <w:rFonts w:ascii="Calibri" w:hAnsi="Calibri" w:cs="Calibri"/>
        </w:rPr>
      </w:pPr>
      <w:r>
        <w:rPr>
          <w:rFonts w:ascii="Calibri" w:hAnsi="Calibri" w:cs="Calibri"/>
        </w:rPr>
        <w:t xml:space="preserve">Section 13 lists the responsibilities of the USS Provider (USSP). In (1) it is stated that The Authority shall designate </w:t>
      </w:r>
      <w:r w:rsidRPr="00E96FFD">
        <w:rPr>
          <w:rFonts w:ascii="Calibri" w:hAnsi="Calibri" w:cs="Calibri"/>
          <w:b/>
          <w:bCs/>
        </w:rPr>
        <w:t xml:space="preserve">a </w:t>
      </w:r>
      <w:r>
        <w:rPr>
          <w:rFonts w:ascii="Calibri" w:hAnsi="Calibri" w:cs="Calibri"/>
        </w:rPr>
        <w:t xml:space="preserve">USSP to provide USS services, suggesting that it is The Authority intention to appoint a single USSP. DSA </w:t>
      </w:r>
      <w:r w:rsidRPr="003253AE">
        <w:rPr>
          <w:rFonts w:ascii="Calibri" w:hAnsi="Calibri" w:cs="Calibri"/>
        </w:rPr>
        <w:t>urge</w:t>
      </w:r>
      <w:r>
        <w:rPr>
          <w:rFonts w:ascii="Calibri" w:hAnsi="Calibri" w:cs="Calibri"/>
        </w:rPr>
        <w:t>s</w:t>
      </w:r>
      <w:r w:rsidRPr="003253AE">
        <w:rPr>
          <w:rFonts w:ascii="Calibri" w:hAnsi="Calibri" w:cs="Calibri"/>
        </w:rPr>
        <w:t xml:space="preserve"> ICASA to adopt a multi-provider model that allows </w:t>
      </w:r>
      <w:r>
        <w:rPr>
          <w:rFonts w:ascii="Calibri" w:hAnsi="Calibri" w:cs="Calibri"/>
        </w:rPr>
        <w:t xml:space="preserve">the appointment of multiple </w:t>
      </w:r>
      <w:r w:rsidRPr="003253AE">
        <w:rPr>
          <w:rFonts w:ascii="Calibri" w:hAnsi="Calibri" w:cs="Calibri"/>
        </w:rPr>
        <w:t xml:space="preserve">qualified Universal Spectrum Service Providers. This approach, successfully applied in the U.S. (CBRS SAS and </w:t>
      </w:r>
      <w:r>
        <w:rPr>
          <w:rFonts w:ascii="Calibri" w:hAnsi="Calibri" w:cs="Calibri"/>
        </w:rPr>
        <w:t xml:space="preserve">6 GHz </w:t>
      </w:r>
      <w:r w:rsidRPr="003253AE">
        <w:rPr>
          <w:rFonts w:ascii="Calibri" w:hAnsi="Calibri" w:cs="Calibri"/>
        </w:rPr>
        <w:t>AFC frameworks), promotes competition, improves reliability, and avoids a single point of failure.</w:t>
      </w:r>
      <w:r>
        <w:rPr>
          <w:rFonts w:ascii="Calibri" w:hAnsi="Calibri" w:cs="Calibri"/>
        </w:rPr>
        <w:t xml:space="preserve"> </w:t>
      </w:r>
      <w:r w:rsidRPr="003253AE">
        <w:rPr>
          <w:rFonts w:ascii="Calibri" w:hAnsi="Calibri" w:cs="Calibri"/>
        </w:rPr>
        <w:t xml:space="preserve">A </w:t>
      </w:r>
      <w:r>
        <w:rPr>
          <w:rFonts w:ascii="Calibri" w:hAnsi="Calibri" w:cs="Calibri"/>
        </w:rPr>
        <w:t>r</w:t>
      </w:r>
      <w:r w:rsidRPr="003253AE">
        <w:rPr>
          <w:rFonts w:ascii="Calibri" w:hAnsi="Calibri" w:cs="Calibri"/>
        </w:rPr>
        <w:t>esilient infrastructure</w:t>
      </w:r>
      <w:r>
        <w:rPr>
          <w:rFonts w:ascii="Calibri" w:hAnsi="Calibri" w:cs="Calibri"/>
        </w:rPr>
        <w:t xml:space="preserve"> </w:t>
      </w:r>
      <w:r w:rsidRPr="003253AE">
        <w:rPr>
          <w:rFonts w:ascii="Calibri" w:hAnsi="Calibri" w:cs="Calibri"/>
        </w:rPr>
        <w:t>is essential to maintain continuity and trust in the system.</w:t>
      </w:r>
      <w:r>
        <w:rPr>
          <w:rFonts w:ascii="Calibri" w:hAnsi="Calibri" w:cs="Calibri"/>
        </w:rPr>
        <w:t xml:space="preserve">  </w:t>
      </w:r>
    </w:p>
    <w:p w14:paraId="321F46DC" w14:textId="77777777" w:rsidR="002D12AF" w:rsidRDefault="002D12AF" w:rsidP="002D12AF">
      <w:pPr>
        <w:jc w:val="both"/>
        <w:rPr>
          <w:rFonts w:ascii="Calibri" w:hAnsi="Calibri" w:cs="Calibri"/>
        </w:rPr>
      </w:pPr>
      <w:r>
        <w:rPr>
          <w:rFonts w:ascii="Calibri" w:hAnsi="Calibri" w:cs="Calibri" w:hint="eastAsia"/>
        </w:rPr>
        <w:t xml:space="preserve">The </w:t>
      </w:r>
      <w:r w:rsidRPr="003253AE">
        <w:rPr>
          <w:rFonts w:ascii="Calibri" w:hAnsi="Calibri" w:cs="Calibri"/>
        </w:rPr>
        <w:t xml:space="preserve">DSA </w:t>
      </w:r>
      <w:r>
        <w:rPr>
          <w:rFonts w:ascii="Calibri" w:hAnsi="Calibri" w:cs="Calibri"/>
        </w:rPr>
        <w:t>notes that I</w:t>
      </w:r>
      <w:r w:rsidRPr="003253AE">
        <w:rPr>
          <w:rFonts w:ascii="Calibri" w:hAnsi="Calibri" w:cs="Calibri"/>
        </w:rPr>
        <w:t>CASA</w:t>
      </w:r>
      <w:r>
        <w:rPr>
          <w:rFonts w:ascii="Calibri" w:hAnsi="Calibri" w:cs="Calibri"/>
        </w:rPr>
        <w:t xml:space="preserve"> developed a comparable framework for the operation of secondary geolocation databases for </w:t>
      </w:r>
      <w:r w:rsidRPr="003253AE">
        <w:rPr>
          <w:rFonts w:ascii="Calibri" w:hAnsi="Calibri" w:cs="Calibri"/>
        </w:rPr>
        <w:t>TV White Spaces (TVWS)</w:t>
      </w:r>
      <w:r>
        <w:rPr>
          <w:rFonts w:ascii="Calibri" w:hAnsi="Calibri" w:cs="Calibri"/>
        </w:rPr>
        <w:t xml:space="preserve"> and could adapt that model for the appointment of multiple USSPs</w:t>
      </w:r>
      <w:r w:rsidRPr="003253AE">
        <w:rPr>
          <w:rFonts w:ascii="Calibri" w:hAnsi="Calibri" w:cs="Calibri"/>
        </w:rPr>
        <w:t xml:space="preserve">. </w:t>
      </w:r>
    </w:p>
    <w:p w14:paraId="74EE2EF9" w14:textId="77777777" w:rsidR="002D12AF" w:rsidRDefault="002D12AF" w:rsidP="002D12AF">
      <w:pPr>
        <w:jc w:val="both"/>
        <w:rPr>
          <w:rFonts w:ascii="Calibri" w:hAnsi="Calibri" w:cs="Calibri"/>
        </w:rPr>
      </w:pPr>
      <w:r>
        <w:rPr>
          <w:rFonts w:ascii="Calibri" w:hAnsi="Calibri" w:cs="Calibri"/>
        </w:rPr>
        <w:t>Furthermore</w:t>
      </w:r>
      <w:r w:rsidRPr="003253AE">
        <w:rPr>
          <w:rFonts w:ascii="Calibri" w:hAnsi="Calibri" w:cs="Calibri"/>
        </w:rPr>
        <w:t xml:space="preserve">, </w:t>
      </w:r>
      <w:r>
        <w:rPr>
          <w:rFonts w:ascii="Calibri" w:hAnsi="Calibri" w:cs="Calibri" w:hint="eastAsia"/>
        </w:rPr>
        <w:t>the DSA</w:t>
      </w:r>
      <w:r w:rsidRPr="003253AE">
        <w:rPr>
          <w:rFonts w:ascii="Calibri" w:hAnsi="Calibri" w:cs="Calibri"/>
        </w:rPr>
        <w:t xml:space="preserve"> recommend</w:t>
      </w:r>
      <w:r>
        <w:rPr>
          <w:rFonts w:ascii="Calibri" w:hAnsi="Calibri" w:cs="Calibri"/>
        </w:rPr>
        <w:t>s</w:t>
      </w:r>
      <w:r w:rsidRPr="003253AE">
        <w:rPr>
          <w:rFonts w:ascii="Calibri" w:hAnsi="Calibri" w:cs="Calibri"/>
        </w:rPr>
        <w:t xml:space="preserve"> the USS </w:t>
      </w:r>
      <w:r>
        <w:rPr>
          <w:rFonts w:ascii="Calibri" w:hAnsi="Calibri" w:cs="Calibri"/>
        </w:rPr>
        <w:t xml:space="preserve">to </w:t>
      </w:r>
      <w:r w:rsidRPr="003253AE">
        <w:rPr>
          <w:rFonts w:ascii="Calibri" w:hAnsi="Calibri" w:cs="Calibri"/>
        </w:rPr>
        <w:t xml:space="preserve">be designed as a cloud-based platform with high availability, redundancy, and failover capabilities. </w:t>
      </w:r>
    </w:p>
    <w:p w14:paraId="39E2B5D5" w14:textId="77777777" w:rsidR="007D767F" w:rsidRDefault="007D767F" w:rsidP="00174D6F">
      <w:pPr>
        <w:ind w:leftChars="200" w:left="440"/>
        <w:jc w:val="both"/>
        <w:rPr>
          <w:rFonts w:ascii="Calibri" w:hAnsi="Calibri" w:cs="Calibri"/>
          <w:b/>
          <w:bCs/>
        </w:rPr>
      </w:pPr>
    </w:p>
    <w:p w14:paraId="6E7D37C0" w14:textId="0E7AC560" w:rsidR="003253AE" w:rsidRPr="003253AE" w:rsidRDefault="00667525" w:rsidP="00174D6F">
      <w:pPr>
        <w:ind w:leftChars="200" w:left="440"/>
        <w:jc w:val="both"/>
        <w:rPr>
          <w:rFonts w:ascii="Calibri" w:hAnsi="Calibri" w:cs="Calibri"/>
          <w:b/>
          <w:bCs/>
        </w:rPr>
      </w:pPr>
      <w:r>
        <w:rPr>
          <w:rFonts w:ascii="Calibri" w:hAnsi="Calibri" w:cs="Calibri"/>
          <w:b/>
          <w:bCs/>
        </w:rPr>
        <w:t>H</w:t>
      </w:r>
      <w:r w:rsidR="003253AE" w:rsidRPr="003253AE">
        <w:rPr>
          <w:rFonts w:ascii="Calibri" w:hAnsi="Calibri" w:cs="Calibri"/>
          <w:b/>
          <w:bCs/>
        </w:rPr>
        <w:t xml:space="preserve">. </w:t>
      </w:r>
      <w:r w:rsidR="00636048">
        <w:rPr>
          <w:rFonts w:ascii="Calibri" w:hAnsi="Calibri" w:cs="Calibri"/>
          <w:b/>
          <w:bCs/>
        </w:rPr>
        <w:t>Innovation Spectrum License Validity and Renewal and Commence of operations (Section 18 and Section 19)</w:t>
      </w:r>
    </w:p>
    <w:p w14:paraId="54D0BDA8" w14:textId="0D0963E1" w:rsidR="003253AE" w:rsidRDefault="00084A80" w:rsidP="003253AE">
      <w:pPr>
        <w:jc w:val="both"/>
        <w:rPr>
          <w:rFonts w:ascii="Calibri" w:hAnsi="Calibri" w:cs="Calibri"/>
        </w:rPr>
      </w:pPr>
      <w:r w:rsidRPr="00BC15C2">
        <w:rPr>
          <w:rFonts w:ascii="Calibri" w:hAnsi="Calibri" w:cs="Calibri" w:hint="eastAsia"/>
        </w:rPr>
        <w:t xml:space="preserve">The </w:t>
      </w:r>
      <w:r w:rsidR="003253AE" w:rsidRPr="00BC15C2">
        <w:rPr>
          <w:rFonts w:ascii="Calibri" w:hAnsi="Calibri" w:cs="Calibri"/>
        </w:rPr>
        <w:t xml:space="preserve">DSA recommends extending </w:t>
      </w:r>
      <w:r w:rsidR="00636048" w:rsidRPr="00BC15C2">
        <w:rPr>
          <w:rFonts w:ascii="Calibri" w:hAnsi="Calibri" w:cs="Calibri"/>
        </w:rPr>
        <w:t xml:space="preserve">IS spectrum </w:t>
      </w:r>
      <w:r w:rsidR="003253AE" w:rsidRPr="00BC15C2">
        <w:rPr>
          <w:rFonts w:ascii="Calibri" w:hAnsi="Calibri" w:cs="Calibri"/>
        </w:rPr>
        <w:t xml:space="preserve">license validity to at least five years, with flexibility for renewal and verification of use. </w:t>
      </w:r>
      <w:r w:rsidR="00636048" w:rsidRPr="00BC15C2">
        <w:rPr>
          <w:rFonts w:ascii="Calibri" w:hAnsi="Calibri" w:cs="Calibri"/>
        </w:rPr>
        <w:t>This would facilitate investment</w:t>
      </w:r>
      <w:r w:rsidR="00BC15C2" w:rsidRPr="00BC15C2">
        <w:rPr>
          <w:rFonts w:ascii="Calibri" w:hAnsi="Calibri" w:cs="Calibri"/>
        </w:rPr>
        <w:t xml:space="preserve">. </w:t>
      </w:r>
      <w:r w:rsidR="003253AE" w:rsidRPr="00BC15C2">
        <w:rPr>
          <w:rFonts w:ascii="Calibri" w:hAnsi="Calibri" w:cs="Calibri"/>
        </w:rPr>
        <w:t xml:space="preserve">Activation deadlines should be extended </w:t>
      </w:r>
      <w:r w:rsidR="00636048" w:rsidRPr="00BC15C2">
        <w:rPr>
          <w:rFonts w:ascii="Calibri" w:hAnsi="Calibri" w:cs="Calibri"/>
        </w:rPr>
        <w:t>from</w:t>
      </w:r>
      <w:r w:rsidR="003253AE" w:rsidRPr="00BC15C2">
        <w:rPr>
          <w:rFonts w:ascii="Calibri" w:hAnsi="Calibri" w:cs="Calibri"/>
        </w:rPr>
        <w:t xml:space="preserve"> 30 to 90 days </w:t>
      </w:r>
      <w:r w:rsidR="00636048" w:rsidRPr="00BC15C2">
        <w:rPr>
          <w:rFonts w:ascii="Calibri" w:hAnsi="Calibri" w:cs="Calibri"/>
        </w:rPr>
        <w:t xml:space="preserve">from the date of issue of the license </w:t>
      </w:r>
      <w:r w:rsidR="00BC15C2" w:rsidRPr="00BC15C2">
        <w:rPr>
          <w:rFonts w:ascii="Calibri" w:hAnsi="Calibri" w:cs="Calibri"/>
        </w:rPr>
        <w:t>to</w:t>
      </w:r>
      <w:r w:rsidR="003253AE" w:rsidRPr="00BC15C2">
        <w:rPr>
          <w:rFonts w:ascii="Calibri" w:hAnsi="Calibri" w:cs="Calibri"/>
        </w:rPr>
        <w:t xml:space="preserve"> accommodate real-world deployment timelines and avoid penalizing operators who require time to secure financing, equipment, or community access agreements.</w:t>
      </w:r>
    </w:p>
    <w:p w14:paraId="417C6E12" w14:textId="77777777" w:rsidR="00174D6F" w:rsidRDefault="00174D6F" w:rsidP="003253AE">
      <w:pPr>
        <w:jc w:val="both"/>
        <w:rPr>
          <w:rFonts w:ascii="Calibri" w:hAnsi="Calibri" w:cs="Calibri"/>
        </w:rPr>
      </w:pPr>
    </w:p>
    <w:p w14:paraId="76E5A7AC" w14:textId="77777777" w:rsidR="003253AE" w:rsidRPr="003253AE" w:rsidRDefault="003253AE" w:rsidP="00174D6F">
      <w:pPr>
        <w:pStyle w:val="ListParagraph"/>
        <w:ind w:left="992"/>
        <w:jc w:val="both"/>
        <w:rPr>
          <w:rFonts w:ascii="Calibri" w:hAnsi="Calibri" w:cs="Calibri"/>
          <w:b/>
          <w:bCs/>
        </w:rPr>
      </w:pPr>
      <w:r w:rsidRPr="003253AE">
        <w:rPr>
          <w:rFonts w:ascii="Calibri" w:hAnsi="Calibri" w:cs="Calibri"/>
          <w:b/>
          <w:bCs/>
        </w:rPr>
        <w:t>Conclusion</w:t>
      </w:r>
    </w:p>
    <w:p w14:paraId="361A4E3B" w14:textId="70E68002" w:rsidR="003253AE" w:rsidRPr="003253AE" w:rsidRDefault="003253AE" w:rsidP="003253AE">
      <w:pPr>
        <w:jc w:val="both"/>
        <w:rPr>
          <w:rFonts w:ascii="Calibri" w:hAnsi="Calibri" w:cs="Calibri"/>
        </w:rPr>
      </w:pPr>
      <w:r w:rsidRPr="003253AE">
        <w:rPr>
          <w:rFonts w:ascii="Calibri" w:hAnsi="Calibri" w:cs="Calibri"/>
        </w:rPr>
        <w:t>The DSA supports ICASA’s initiative to enable dynamic spectrum access and broaden spectrum availability</w:t>
      </w:r>
      <w:r w:rsidR="002A3F38">
        <w:rPr>
          <w:rFonts w:ascii="Calibri" w:hAnsi="Calibri" w:cs="Calibri" w:hint="eastAsia"/>
        </w:rPr>
        <w:t xml:space="preserve"> </w:t>
      </w:r>
      <w:r w:rsidR="002A3F38">
        <w:rPr>
          <w:rFonts w:ascii="Calibri" w:hAnsi="Calibri" w:cs="Calibri"/>
        </w:rPr>
        <w:t>for the</w:t>
      </w:r>
      <w:r w:rsidR="002A3F38">
        <w:rPr>
          <w:rFonts w:ascii="Calibri" w:hAnsi="Calibri" w:cs="Calibri" w:hint="eastAsia"/>
        </w:rPr>
        <w:t xml:space="preserve"> </w:t>
      </w:r>
      <w:r w:rsidR="00096C4B" w:rsidRPr="00BF1D3E">
        <w:rPr>
          <w:rFonts w:ascii="Calibri" w:hAnsi="Calibri" w:cs="Calibri"/>
        </w:rPr>
        <w:t>benefit of</w:t>
      </w:r>
      <w:r w:rsidR="002A3F38" w:rsidRPr="00BF1D3E">
        <w:rPr>
          <w:rFonts w:ascii="Calibri" w:hAnsi="Calibri" w:cs="Calibri"/>
        </w:rPr>
        <w:t xml:space="preserve"> South Africa’s digital transformation and support its national broadband goals</w:t>
      </w:r>
      <w:r w:rsidRPr="003253AE">
        <w:rPr>
          <w:rFonts w:ascii="Calibri" w:hAnsi="Calibri" w:cs="Calibri"/>
        </w:rPr>
        <w:t xml:space="preserve">. With </w:t>
      </w:r>
      <w:r w:rsidR="00096C4B">
        <w:rPr>
          <w:rFonts w:ascii="Calibri" w:hAnsi="Calibri" w:cs="Calibri"/>
        </w:rPr>
        <w:t xml:space="preserve">the recommended </w:t>
      </w:r>
      <w:r w:rsidRPr="003253AE">
        <w:rPr>
          <w:rFonts w:ascii="Calibri" w:hAnsi="Calibri" w:cs="Calibri"/>
        </w:rPr>
        <w:t>refinement, this framework can serve as a model for smart, inclusive, and efficient spectrum use in the region and globally.</w:t>
      </w:r>
      <w:r w:rsidR="002A3F38">
        <w:rPr>
          <w:rFonts w:ascii="Calibri" w:hAnsi="Calibri" w:cs="Calibri" w:hint="eastAsia"/>
        </w:rPr>
        <w:t xml:space="preserve"> The DSA</w:t>
      </w:r>
      <w:r w:rsidRPr="003253AE">
        <w:rPr>
          <w:rFonts w:ascii="Calibri" w:hAnsi="Calibri" w:cs="Calibri"/>
        </w:rPr>
        <w:t xml:space="preserve"> remain</w:t>
      </w:r>
      <w:r w:rsidR="00096C4B">
        <w:rPr>
          <w:rFonts w:ascii="Calibri" w:hAnsi="Calibri" w:cs="Calibri"/>
        </w:rPr>
        <w:t>s</w:t>
      </w:r>
      <w:r w:rsidRPr="003253AE">
        <w:rPr>
          <w:rFonts w:ascii="Calibri" w:hAnsi="Calibri" w:cs="Calibri"/>
        </w:rPr>
        <w:t xml:space="preserve"> available to provide technical assistance, case studies, and international benchmarks as ICASA </w:t>
      </w:r>
      <w:r w:rsidR="00096C4B">
        <w:rPr>
          <w:rFonts w:ascii="Calibri" w:hAnsi="Calibri" w:cs="Calibri"/>
        </w:rPr>
        <w:t>prepares the final version of this r</w:t>
      </w:r>
      <w:r w:rsidRPr="003253AE">
        <w:rPr>
          <w:rFonts w:ascii="Calibri" w:hAnsi="Calibri" w:cs="Calibri"/>
        </w:rPr>
        <w:t>egulatory framework</w:t>
      </w:r>
      <w:r w:rsidR="00096C4B">
        <w:rPr>
          <w:rFonts w:ascii="Calibri" w:hAnsi="Calibri" w:cs="Calibri"/>
        </w:rPr>
        <w:t xml:space="preserve"> after this consultation period</w:t>
      </w:r>
      <w:r w:rsidRPr="003253AE">
        <w:rPr>
          <w:rFonts w:ascii="Calibri" w:hAnsi="Calibri" w:cs="Calibri"/>
        </w:rPr>
        <w:t>.</w:t>
      </w:r>
    </w:p>
    <w:p w14:paraId="00588265" w14:textId="522DAAD5" w:rsidR="003253AE" w:rsidRPr="00D8103E" w:rsidRDefault="003253AE" w:rsidP="00D8103E">
      <w:pPr>
        <w:widowControl/>
        <w:wordWrap/>
        <w:autoSpaceDE/>
        <w:autoSpaceDN/>
        <w:rPr>
          <w:rFonts w:ascii="Calibri" w:hAnsi="Calibri" w:cs="Calibri"/>
        </w:rPr>
      </w:pPr>
    </w:p>
    <w:sectPr w:rsidR="003253AE" w:rsidRPr="00D8103E">
      <w:head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BB54F" w14:textId="77777777" w:rsidR="00735025" w:rsidRDefault="00735025" w:rsidP="003E1EFA">
      <w:pPr>
        <w:spacing w:after="0"/>
      </w:pPr>
      <w:r>
        <w:separator/>
      </w:r>
    </w:p>
  </w:endnote>
  <w:endnote w:type="continuationSeparator" w:id="0">
    <w:p w14:paraId="672975EE" w14:textId="77777777" w:rsidR="00735025" w:rsidRDefault="00735025" w:rsidP="003E1E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2219B" w14:textId="77777777" w:rsidR="00735025" w:rsidRDefault="00735025" w:rsidP="003E1EFA">
      <w:pPr>
        <w:spacing w:after="0"/>
      </w:pPr>
      <w:r>
        <w:separator/>
      </w:r>
    </w:p>
  </w:footnote>
  <w:footnote w:type="continuationSeparator" w:id="0">
    <w:p w14:paraId="3787D0B8" w14:textId="77777777" w:rsidR="00735025" w:rsidRDefault="00735025" w:rsidP="003E1EFA">
      <w:pPr>
        <w:spacing w:after="0"/>
      </w:pPr>
      <w:r>
        <w:continuationSeparator/>
      </w:r>
    </w:p>
  </w:footnote>
  <w:footnote w:id="1">
    <w:p w14:paraId="7A2DDBC2" w14:textId="74CC695E" w:rsidR="003E1EFA" w:rsidRPr="00DC1F42" w:rsidRDefault="003E1EFA" w:rsidP="003E1EFA">
      <w:pPr>
        <w:pStyle w:val="FootnoteText"/>
        <w:jc w:val="both"/>
        <w:rPr>
          <w:rFonts w:ascii="Calibri" w:hAnsi="Calibri" w:cs="Calibri"/>
        </w:rPr>
      </w:pPr>
      <w:r w:rsidRPr="00DC1F42">
        <w:rPr>
          <w:rStyle w:val="FootnoteReference"/>
          <w:rFonts w:ascii="Calibri" w:hAnsi="Calibri" w:cs="Calibri"/>
        </w:rPr>
        <w:footnoteRef/>
      </w:r>
      <w:r w:rsidRPr="00DC1F42">
        <w:rPr>
          <w:rFonts w:ascii="Calibri" w:hAnsi="Calibri" w:cs="Calibri"/>
        </w:rPr>
        <w:t xml:space="preserve"> The DSA is a global, cross-industry, not for profit organization advocating for laws, regulations, and economic best practices that will lead to more efficient utilization of spectrum, fostering innovation and affordable connectivity for all. Our membership spans multinationals, small-and medium-sized enterprises, as well as academic, research and other organizations from around the world all working to create innovative solutions that will benefit consumers and businesses alike by making spectrum abundant through dynamic spectrum sharing. A full list of DSA members is available on the DSA’s website at </w:t>
      </w:r>
      <w:hyperlink r:id="rId1" w:history="1">
        <w:r w:rsidRPr="00DC1F42">
          <w:rPr>
            <w:rStyle w:val="Hyperlink"/>
            <w:rFonts w:ascii="Calibri" w:hAnsi="Calibri" w:cs="Calibri"/>
          </w:rPr>
          <w:t>https://www.dynamicspectrumalliance.org/members</w:t>
        </w:r>
      </w:hyperlink>
      <w:r w:rsidRPr="00DC1F42">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63F4" w14:textId="77777777" w:rsidR="00BB32C5" w:rsidRDefault="00BB32C5">
    <w:pPr>
      <w:pStyle w:val="Header"/>
    </w:pPr>
  </w:p>
  <w:p w14:paraId="580AE74A" w14:textId="38536091" w:rsidR="00290F1F" w:rsidRDefault="00290F1F">
    <w:pPr>
      <w:pStyle w:val="Header"/>
    </w:pPr>
    <w:r>
      <w:rPr>
        <w:noProof/>
      </w:rPr>
      <w:drawing>
        <wp:anchor distT="0" distB="0" distL="114300" distR="114300" simplePos="0" relativeHeight="251658240" behindDoc="0" locked="0" layoutInCell="1" hidden="0" allowOverlap="1" wp14:anchorId="33A26CE4" wp14:editId="7938325A">
          <wp:simplePos x="0" y="0"/>
          <wp:positionH relativeFrom="margin">
            <wp:align>right</wp:align>
          </wp:positionH>
          <wp:positionV relativeFrom="topMargin">
            <wp:posOffset>261620</wp:posOffset>
          </wp:positionV>
          <wp:extent cx="1924685" cy="586740"/>
          <wp:effectExtent l="0" t="0" r="0" b="3810"/>
          <wp:wrapSquare wrapText="bothSides" distT="0" distB="0" distL="114300" distR="114300"/>
          <wp:docPr id="3" name="image1.jpg" descr="A logo with letters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jpg" descr="A logo with letters and numbers&#10;&#10;Description automatically generated"/>
                  <pic:cNvPicPr preferRelativeResize="0"/>
                </pic:nvPicPr>
                <pic:blipFill>
                  <a:blip r:embed="rId1"/>
                  <a:srcRect/>
                  <a:stretch>
                    <a:fillRect/>
                  </a:stretch>
                </pic:blipFill>
                <pic:spPr>
                  <a:xfrm>
                    <a:off x="0" y="0"/>
                    <a:ext cx="1924685" cy="58674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B2F7E"/>
    <w:multiLevelType w:val="multilevel"/>
    <w:tmpl w:val="5796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5445A"/>
    <w:multiLevelType w:val="multilevel"/>
    <w:tmpl w:val="CD1E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7F18"/>
    <w:multiLevelType w:val="multilevel"/>
    <w:tmpl w:val="3816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E7497"/>
    <w:multiLevelType w:val="hybridMultilevel"/>
    <w:tmpl w:val="4FE6C28C"/>
    <w:lvl w:ilvl="0" w:tplc="20B4FF9A">
      <w:start w:val="1"/>
      <w:numFmt w:val="bullet"/>
      <w:lvlText w:val=""/>
      <w:lvlJc w:val="left"/>
      <w:pPr>
        <w:ind w:left="992" w:hanging="440"/>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
      <w:lvlJc w:val="left"/>
      <w:pPr>
        <w:ind w:left="1432" w:hanging="440"/>
      </w:pPr>
      <w:rPr>
        <w:rFonts w:ascii="Wingdings" w:hAnsi="Wingdings" w:hint="default"/>
      </w:rPr>
    </w:lvl>
    <w:lvl w:ilvl="2" w:tplc="04090005" w:tentative="1">
      <w:start w:val="1"/>
      <w:numFmt w:val="bullet"/>
      <w:lvlText w:val=""/>
      <w:lvlJc w:val="left"/>
      <w:pPr>
        <w:ind w:left="1872" w:hanging="440"/>
      </w:pPr>
      <w:rPr>
        <w:rFonts w:ascii="Wingdings" w:hAnsi="Wingdings" w:hint="default"/>
      </w:rPr>
    </w:lvl>
    <w:lvl w:ilvl="3" w:tplc="04090001" w:tentative="1">
      <w:start w:val="1"/>
      <w:numFmt w:val="bullet"/>
      <w:lvlText w:val=""/>
      <w:lvlJc w:val="left"/>
      <w:pPr>
        <w:ind w:left="2312" w:hanging="440"/>
      </w:pPr>
      <w:rPr>
        <w:rFonts w:ascii="Wingdings" w:hAnsi="Wingdings" w:hint="default"/>
      </w:rPr>
    </w:lvl>
    <w:lvl w:ilvl="4" w:tplc="04090003" w:tentative="1">
      <w:start w:val="1"/>
      <w:numFmt w:val="bullet"/>
      <w:lvlText w:val=""/>
      <w:lvlJc w:val="left"/>
      <w:pPr>
        <w:ind w:left="2752" w:hanging="440"/>
      </w:pPr>
      <w:rPr>
        <w:rFonts w:ascii="Wingdings" w:hAnsi="Wingdings" w:hint="default"/>
      </w:rPr>
    </w:lvl>
    <w:lvl w:ilvl="5" w:tplc="04090005" w:tentative="1">
      <w:start w:val="1"/>
      <w:numFmt w:val="bullet"/>
      <w:lvlText w:val=""/>
      <w:lvlJc w:val="left"/>
      <w:pPr>
        <w:ind w:left="3192" w:hanging="440"/>
      </w:pPr>
      <w:rPr>
        <w:rFonts w:ascii="Wingdings" w:hAnsi="Wingdings" w:hint="default"/>
      </w:rPr>
    </w:lvl>
    <w:lvl w:ilvl="6" w:tplc="04090001" w:tentative="1">
      <w:start w:val="1"/>
      <w:numFmt w:val="bullet"/>
      <w:lvlText w:val=""/>
      <w:lvlJc w:val="left"/>
      <w:pPr>
        <w:ind w:left="3632" w:hanging="440"/>
      </w:pPr>
      <w:rPr>
        <w:rFonts w:ascii="Wingdings" w:hAnsi="Wingdings" w:hint="default"/>
      </w:rPr>
    </w:lvl>
    <w:lvl w:ilvl="7" w:tplc="04090003" w:tentative="1">
      <w:start w:val="1"/>
      <w:numFmt w:val="bullet"/>
      <w:lvlText w:val=""/>
      <w:lvlJc w:val="left"/>
      <w:pPr>
        <w:ind w:left="4072" w:hanging="440"/>
      </w:pPr>
      <w:rPr>
        <w:rFonts w:ascii="Wingdings" w:hAnsi="Wingdings" w:hint="default"/>
      </w:rPr>
    </w:lvl>
    <w:lvl w:ilvl="8" w:tplc="04090005" w:tentative="1">
      <w:start w:val="1"/>
      <w:numFmt w:val="bullet"/>
      <w:lvlText w:val=""/>
      <w:lvlJc w:val="left"/>
      <w:pPr>
        <w:ind w:left="4512" w:hanging="440"/>
      </w:pPr>
      <w:rPr>
        <w:rFonts w:ascii="Wingdings" w:hAnsi="Wingdings" w:hint="default"/>
      </w:rPr>
    </w:lvl>
  </w:abstractNum>
  <w:abstractNum w:abstractNumId="4" w15:restartNumberingAfterBreak="0">
    <w:nsid w:val="52BE78E3"/>
    <w:multiLevelType w:val="multilevel"/>
    <w:tmpl w:val="CB8A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5E43A4"/>
    <w:multiLevelType w:val="multilevel"/>
    <w:tmpl w:val="596E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DE05F0"/>
    <w:multiLevelType w:val="hybridMultilevel"/>
    <w:tmpl w:val="E91A3470"/>
    <w:lvl w:ilvl="0" w:tplc="BA2EE4D6">
      <w:numFmt w:val="bullet"/>
      <w:lvlText w:val="•"/>
      <w:lvlJc w:val="left"/>
      <w:pPr>
        <w:ind w:left="880" w:hanging="440"/>
      </w:pPr>
      <w:rPr>
        <w:rFonts w:ascii="Times New Roman" w:eastAsia="Times New Roman" w:hAnsi="Times New Roman" w:cs="Times New Roman" w:hint="default"/>
        <w:b w:val="0"/>
        <w:bCs w:val="0"/>
        <w:i w:val="0"/>
        <w:iCs w:val="0"/>
        <w:w w:val="99"/>
        <w:sz w:val="24"/>
        <w:szCs w:val="24"/>
        <w:lang w:val="id" w:eastAsia="en-US" w:bidi="ar-S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64AA140E"/>
    <w:multiLevelType w:val="multilevel"/>
    <w:tmpl w:val="1662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640071">
    <w:abstractNumId w:val="2"/>
  </w:num>
  <w:num w:numId="2" w16cid:durableId="189536365">
    <w:abstractNumId w:val="1"/>
  </w:num>
  <w:num w:numId="3" w16cid:durableId="305204688">
    <w:abstractNumId w:val="4"/>
  </w:num>
  <w:num w:numId="4" w16cid:durableId="2103336935">
    <w:abstractNumId w:val="0"/>
  </w:num>
  <w:num w:numId="5" w16cid:durableId="451949019">
    <w:abstractNumId w:val="5"/>
  </w:num>
  <w:num w:numId="6" w16cid:durableId="1589920861">
    <w:abstractNumId w:val="7"/>
  </w:num>
  <w:num w:numId="7" w16cid:durableId="225528471">
    <w:abstractNumId w:val="3"/>
  </w:num>
  <w:num w:numId="8" w16cid:durableId="8144460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3E"/>
    <w:rsid w:val="00017417"/>
    <w:rsid w:val="00027C9F"/>
    <w:rsid w:val="0003043C"/>
    <w:rsid w:val="000309B6"/>
    <w:rsid w:val="00036A62"/>
    <w:rsid w:val="00036E8D"/>
    <w:rsid w:val="00037ED2"/>
    <w:rsid w:val="00040B91"/>
    <w:rsid w:val="000741CF"/>
    <w:rsid w:val="00077B24"/>
    <w:rsid w:val="00084A80"/>
    <w:rsid w:val="0009041C"/>
    <w:rsid w:val="00092872"/>
    <w:rsid w:val="00096C4B"/>
    <w:rsid w:val="000A78A2"/>
    <w:rsid w:val="000B2586"/>
    <w:rsid w:val="000C0C65"/>
    <w:rsid w:val="000E018E"/>
    <w:rsid w:val="0010365E"/>
    <w:rsid w:val="00103E90"/>
    <w:rsid w:val="00111402"/>
    <w:rsid w:val="00130347"/>
    <w:rsid w:val="001432FB"/>
    <w:rsid w:val="00151088"/>
    <w:rsid w:val="001561DC"/>
    <w:rsid w:val="00174D6F"/>
    <w:rsid w:val="001752C6"/>
    <w:rsid w:val="00196CCD"/>
    <w:rsid w:val="001A1E2B"/>
    <w:rsid w:val="001B790A"/>
    <w:rsid w:val="001D3633"/>
    <w:rsid w:val="001E761B"/>
    <w:rsid w:val="00205289"/>
    <w:rsid w:val="0020734D"/>
    <w:rsid w:val="002123A1"/>
    <w:rsid w:val="002217E4"/>
    <w:rsid w:val="0022362A"/>
    <w:rsid w:val="0022420D"/>
    <w:rsid w:val="00254E95"/>
    <w:rsid w:val="00284DEB"/>
    <w:rsid w:val="00290F1F"/>
    <w:rsid w:val="002A3F38"/>
    <w:rsid w:val="002D12AF"/>
    <w:rsid w:val="002D2ED8"/>
    <w:rsid w:val="003123F6"/>
    <w:rsid w:val="00315035"/>
    <w:rsid w:val="00317AC0"/>
    <w:rsid w:val="003224CB"/>
    <w:rsid w:val="003253AE"/>
    <w:rsid w:val="003302F4"/>
    <w:rsid w:val="003603F7"/>
    <w:rsid w:val="0037413D"/>
    <w:rsid w:val="003830DF"/>
    <w:rsid w:val="0039462F"/>
    <w:rsid w:val="003A351E"/>
    <w:rsid w:val="003D19FA"/>
    <w:rsid w:val="003E1EFA"/>
    <w:rsid w:val="003E3FD4"/>
    <w:rsid w:val="00413B27"/>
    <w:rsid w:val="0041441B"/>
    <w:rsid w:val="004B45EC"/>
    <w:rsid w:val="004F759C"/>
    <w:rsid w:val="005019BA"/>
    <w:rsid w:val="0050258B"/>
    <w:rsid w:val="0052340C"/>
    <w:rsid w:val="00541D76"/>
    <w:rsid w:val="00547619"/>
    <w:rsid w:val="00562513"/>
    <w:rsid w:val="00562CB9"/>
    <w:rsid w:val="0058139E"/>
    <w:rsid w:val="00583AC2"/>
    <w:rsid w:val="005A3937"/>
    <w:rsid w:val="005C213A"/>
    <w:rsid w:val="005C3461"/>
    <w:rsid w:val="005C6114"/>
    <w:rsid w:val="005E0A8C"/>
    <w:rsid w:val="00632050"/>
    <w:rsid w:val="00636048"/>
    <w:rsid w:val="00667525"/>
    <w:rsid w:val="00692CF7"/>
    <w:rsid w:val="00695A0F"/>
    <w:rsid w:val="006B3291"/>
    <w:rsid w:val="006B3923"/>
    <w:rsid w:val="006E38C3"/>
    <w:rsid w:val="006F0C15"/>
    <w:rsid w:val="006F3F39"/>
    <w:rsid w:val="00704F70"/>
    <w:rsid w:val="00730CCF"/>
    <w:rsid w:val="00735025"/>
    <w:rsid w:val="00745D3D"/>
    <w:rsid w:val="00762AEA"/>
    <w:rsid w:val="00781D57"/>
    <w:rsid w:val="00791B21"/>
    <w:rsid w:val="007A7CE6"/>
    <w:rsid w:val="007C1BCE"/>
    <w:rsid w:val="007D767F"/>
    <w:rsid w:val="007F3A57"/>
    <w:rsid w:val="00801C75"/>
    <w:rsid w:val="00806FBC"/>
    <w:rsid w:val="00810E6F"/>
    <w:rsid w:val="00830FBE"/>
    <w:rsid w:val="00846F05"/>
    <w:rsid w:val="008B1028"/>
    <w:rsid w:val="008B5158"/>
    <w:rsid w:val="008E100F"/>
    <w:rsid w:val="008F1420"/>
    <w:rsid w:val="00902FDF"/>
    <w:rsid w:val="00933769"/>
    <w:rsid w:val="0093407C"/>
    <w:rsid w:val="00943316"/>
    <w:rsid w:val="0095292E"/>
    <w:rsid w:val="00962984"/>
    <w:rsid w:val="00964088"/>
    <w:rsid w:val="00973664"/>
    <w:rsid w:val="00994029"/>
    <w:rsid w:val="009B43BC"/>
    <w:rsid w:val="009E3029"/>
    <w:rsid w:val="009E58DA"/>
    <w:rsid w:val="009F33F0"/>
    <w:rsid w:val="00A07D86"/>
    <w:rsid w:val="00A3064A"/>
    <w:rsid w:val="00A34A7E"/>
    <w:rsid w:val="00A3571D"/>
    <w:rsid w:val="00A36228"/>
    <w:rsid w:val="00A42A66"/>
    <w:rsid w:val="00A44003"/>
    <w:rsid w:val="00A56B49"/>
    <w:rsid w:val="00AA525D"/>
    <w:rsid w:val="00AB58E0"/>
    <w:rsid w:val="00AC7BD7"/>
    <w:rsid w:val="00B04CF1"/>
    <w:rsid w:val="00B04E04"/>
    <w:rsid w:val="00B30DA1"/>
    <w:rsid w:val="00B32EF8"/>
    <w:rsid w:val="00BB32C5"/>
    <w:rsid w:val="00BC15C2"/>
    <w:rsid w:val="00BF1D3E"/>
    <w:rsid w:val="00C0313D"/>
    <w:rsid w:val="00C16AE3"/>
    <w:rsid w:val="00C2606E"/>
    <w:rsid w:val="00C36E91"/>
    <w:rsid w:val="00C37F0A"/>
    <w:rsid w:val="00C47797"/>
    <w:rsid w:val="00C572FC"/>
    <w:rsid w:val="00CA3239"/>
    <w:rsid w:val="00CB47EB"/>
    <w:rsid w:val="00D727D0"/>
    <w:rsid w:val="00D8103E"/>
    <w:rsid w:val="00DA45D6"/>
    <w:rsid w:val="00DA7284"/>
    <w:rsid w:val="00DB524C"/>
    <w:rsid w:val="00DC1F42"/>
    <w:rsid w:val="00DC2FF5"/>
    <w:rsid w:val="00DC778E"/>
    <w:rsid w:val="00E11A59"/>
    <w:rsid w:val="00E65369"/>
    <w:rsid w:val="00E851B6"/>
    <w:rsid w:val="00E96FFD"/>
    <w:rsid w:val="00EB03A9"/>
    <w:rsid w:val="00EC10E8"/>
    <w:rsid w:val="00ED29BA"/>
    <w:rsid w:val="00F41850"/>
    <w:rsid w:val="00F61195"/>
    <w:rsid w:val="00F823FB"/>
    <w:rsid w:val="00FA795D"/>
    <w:rsid w:val="00FB49E3"/>
    <w:rsid w:val="00FD58CF"/>
    <w:rsid w:val="00FE006A"/>
    <w:rsid w:val="00FE02BF"/>
    <w:rsid w:val="00FE579A"/>
    <w:rsid w:val="00FF2B1B"/>
    <w:rsid w:val="00FF7AA2"/>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597D0"/>
  <w15:chartTrackingRefBased/>
  <w15:docId w15:val="{21BA3BD7-453F-4837-B354-DF10677B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BF1D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BF1D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BF1D3E"/>
    <w:pPr>
      <w:keepNext/>
      <w:keepLines/>
      <w:spacing w:before="160" w:after="80"/>
      <w:outlineLvl w:val="2"/>
    </w:pPr>
    <w:rPr>
      <w:rFonts w:asciiTheme="majorHAnsi" w:eastAsiaTheme="majorEastAsia" w:hAnsiTheme="majorHAnsi" w:cstheme="majorBidi"/>
      <w:color w:val="000000" w:themeColor="text1"/>
      <w:sz w:val="24"/>
    </w:rPr>
  </w:style>
  <w:style w:type="paragraph" w:styleId="Heading4">
    <w:name w:val="heading 4"/>
    <w:basedOn w:val="Normal"/>
    <w:next w:val="Normal"/>
    <w:link w:val="Heading4Char"/>
    <w:uiPriority w:val="9"/>
    <w:semiHidden/>
    <w:unhideWhenUsed/>
    <w:qFormat/>
    <w:rsid w:val="00BF1D3E"/>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BF1D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BF1D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BF1D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BF1D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BF1D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D3E"/>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BF1D3E"/>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BF1D3E"/>
    <w:rPr>
      <w:rFonts w:asciiTheme="majorHAnsi" w:eastAsiaTheme="majorEastAsia" w:hAnsiTheme="majorHAnsi" w:cstheme="majorBidi"/>
      <w:color w:val="000000" w:themeColor="text1"/>
      <w:sz w:val="24"/>
    </w:rPr>
  </w:style>
  <w:style w:type="character" w:customStyle="1" w:styleId="Heading4Char">
    <w:name w:val="Heading 4 Char"/>
    <w:basedOn w:val="DefaultParagraphFont"/>
    <w:link w:val="Heading4"/>
    <w:uiPriority w:val="9"/>
    <w:semiHidden/>
    <w:rsid w:val="00BF1D3E"/>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BF1D3E"/>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BF1D3E"/>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BF1D3E"/>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BF1D3E"/>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BF1D3E"/>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BF1D3E"/>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D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D3E"/>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BF1D3E"/>
    <w:pPr>
      <w:spacing w:before="160"/>
      <w:jc w:val="center"/>
    </w:pPr>
    <w:rPr>
      <w:i/>
      <w:iCs/>
      <w:color w:val="404040" w:themeColor="text1" w:themeTint="BF"/>
    </w:rPr>
  </w:style>
  <w:style w:type="character" w:customStyle="1" w:styleId="QuoteChar">
    <w:name w:val="Quote Char"/>
    <w:basedOn w:val="DefaultParagraphFont"/>
    <w:link w:val="Quote"/>
    <w:uiPriority w:val="29"/>
    <w:rsid w:val="00BF1D3E"/>
    <w:rPr>
      <w:i/>
      <w:iCs/>
      <w:color w:val="404040" w:themeColor="text1" w:themeTint="BF"/>
    </w:rPr>
  </w:style>
  <w:style w:type="paragraph" w:styleId="ListParagraph">
    <w:name w:val="List Paragraph"/>
    <w:basedOn w:val="Normal"/>
    <w:uiPriority w:val="34"/>
    <w:qFormat/>
    <w:rsid w:val="00BF1D3E"/>
    <w:pPr>
      <w:ind w:left="720"/>
      <w:contextualSpacing/>
    </w:pPr>
  </w:style>
  <w:style w:type="character" w:styleId="IntenseEmphasis">
    <w:name w:val="Intense Emphasis"/>
    <w:basedOn w:val="DefaultParagraphFont"/>
    <w:uiPriority w:val="21"/>
    <w:qFormat/>
    <w:rsid w:val="00BF1D3E"/>
    <w:rPr>
      <w:i/>
      <w:iCs/>
      <w:color w:val="0F4761" w:themeColor="accent1" w:themeShade="BF"/>
    </w:rPr>
  </w:style>
  <w:style w:type="paragraph" w:styleId="IntenseQuote">
    <w:name w:val="Intense Quote"/>
    <w:basedOn w:val="Normal"/>
    <w:next w:val="Normal"/>
    <w:link w:val="IntenseQuoteChar"/>
    <w:uiPriority w:val="30"/>
    <w:qFormat/>
    <w:rsid w:val="00BF1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D3E"/>
    <w:rPr>
      <w:i/>
      <w:iCs/>
      <w:color w:val="0F4761" w:themeColor="accent1" w:themeShade="BF"/>
    </w:rPr>
  </w:style>
  <w:style w:type="character" w:styleId="IntenseReference">
    <w:name w:val="Intense Reference"/>
    <w:basedOn w:val="DefaultParagraphFont"/>
    <w:uiPriority w:val="32"/>
    <w:qFormat/>
    <w:rsid w:val="00BF1D3E"/>
    <w:rPr>
      <w:b/>
      <w:bCs/>
      <w:smallCaps/>
      <w:color w:val="0F4761" w:themeColor="accent1" w:themeShade="BF"/>
      <w:spacing w:val="5"/>
    </w:rPr>
  </w:style>
  <w:style w:type="paragraph" w:styleId="Date">
    <w:name w:val="Date"/>
    <w:basedOn w:val="Normal"/>
    <w:next w:val="Normal"/>
    <w:link w:val="DateChar"/>
    <w:uiPriority w:val="99"/>
    <w:semiHidden/>
    <w:unhideWhenUsed/>
    <w:rsid w:val="003E1EFA"/>
  </w:style>
  <w:style w:type="character" w:customStyle="1" w:styleId="DateChar">
    <w:name w:val="Date Char"/>
    <w:basedOn w:val="DefaultParagraphFont"/>
    <w:link w:val="Date"/>
    <w:uiPriority w:val="99"/>
    <w:semiHidden/>
    <w:rsid w:val="003E1EFA"/>
  </w:style>
  <w:style w:type="paragraph" w:styleId="FootnoteText">
    <w:name w:val="footnote text"/>
    <w:basedOn w:val="Normal"/>
    <w:link w:val="FootnoteTextChar"/>
    <w:uiPriority w:val="99"/>
    <w:semiHidden/>
    <w:unhideWhenUsed/>
    <w:rsid w:val="003E1EFA"/>
    <w:pPr>
      <w:snapToGrid w:val="0"/>
    </w:pPr>
  </w:style>
  <w:style w:type="character" w:customStyle="1" w:styleId="FootnoteTextChar">
    <w:name w:val="Footnote Text Char"/>
    <w:basedOn w:val="DefaultParagraphFont"/>
    <w:link w:val="FootnoteText"/>
    <w:uiPriority w:val="99"/>
    <w:semiHidden/>
    <w:rsid w:val="003E1EFA"/>
  </w:style>
  <w:style w:type="character" w:styleId="FootnoteReference">
    <w:name w:val="footnote reference"/>
    <w:basedOn w:val="DefaultParagraphFont"/>
    <w:uiPriority w:val="99"/>
    <w:semiHidden/>
    <w:unhideWhenUsed/>
    <w:rsid w:val="003E1EFA"/>
    <w:rPr>
      <w:vertAlign w:val="superscript"/>
    </w:rPr>
  </w:style>
  <w:style w:type="character" w:styleId="Hyperlink">
    <w:name w:val="Hyperlink"/>
    <w:basedOn w:val="DefaultParagraphFont"/>
    <w:uiPriority w:val="99"/>
    <w:unhideWhenUsed/>
    <w:rsid w:val="003E1EFA"/>
    <w:rPr>
      <w:color w:val="467886" w:themeColor="hyperlink"/>
      <w:u w:val="single"/>
    </w:rPr>
  </w:style>
  <w:style w:type="character" w:styleId="UnresolvedMention">
    <w:name w:val="Unresolved Mention"/>
    <w:basedOn w:val="DefaultParagraphFont"/>
    <w:uiPriority w:val="99"/>
    <w:semiHidden/>
    <w:unhideWhenUsed/>
    <w:rsid w:val="003E1EFA"/>
    <w:rPr>
      <w:color w:val="605E5C"/>
      <w:shd w:val="clear" w:color="auto" w:fill="E1DFDD"/>
    </w:rPr>
  </w:style>
  <w:style w:type="character" w:styleId="FollowedHyperlink">
    <w:name w:val="FollowedHyperlink"/>
    <w:basedOn w:val="DefaultParagraphFont"/>
    <w:uiPriority w:val="99"/>
    <w:semiHidden/>
    <w:unhideWhenUsed/>
    <w:rsid w:val="003E1EFA"/>
    <w:rPr>
      <w:color w:val="96607D" w:themeColor="followedHyperlink"/>
      <w:u w:val="single"/>
    </w:rPr>
  </w:style>
  <w:style w:type="paragraph" w:styleId="Header">
    <w:name w:val="header"/>
    <w:basedOn w:val="Normal"/>
    <w:link w:val="HeaderChar"/>
    <w:uiPriority w:val="99"/>
    <w:unhideWhenUsed/>
    <w:rsid w:val="00290F1F"/>
    <w:pPr>
      <w:tabs>
        <w:tab w:val="center" w:pos="4513"/>
        <w:tab w:val="right" w:pos="9026"/>
      </w:tabs>
      <w:snapToGrid w:val="0"/>
    </w:pPr>
  </w:style>
  <w:style w:type="character" w:customStyle="1" w:styleId="HeaderChar">
    <w:name w:val="Header Char"/>
    <w:basedOn w:val="DefaultParagraphFont"/>
    <w:link w:val="Header"/>
    <w:uiPriority w:val="99"/>
    <w:rsid w:val="00290F1F"/>
  </w:style>
  <w:style w:type="paragraph" w:styleId="Footer">
    <w:name w:val="footer"/>
    <w:basedOn w:val="Normal"/>
    <w:link w:val="FooterChar"/>
    <w:uiPriority w:val="99"/>
    <w:unhideWhenUsed/>
    <w:rsid w:val="00290F1F"/>
    <w:pPr>
      <w:tabs>
        <w:tab w:val="center" w:pos="4513"/>
        <w:tab w:val="right" w:pos="9026"/>
      </w:tabs>
      <w:snapToGrid w:val="0"/>
    </w:pPr>
  </w:style>
  <w:style w:type="character" w:customStyle="1" w:styleId="FooterChar">
    <w:name w:val="Footer Char"/>
    <w:basedOn w:val="DefaultParagraphFont"/>
    <w:link w:val="Footer"/>
    <w:uiPriority w:val="99"/>
    <w:rsid w:val="00290F1F"/>
  </w:style>
  <w:style w:type="paragraph" w:styleId="Revision">
    <w:name w:val="Revision"/>
    <w:hidden/>
    <w:uiPriority w:val="99"/>
    <w:semiHidden/>
    <w:rsid w:val="003603F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11055">
      <w:bodyDiv w:val="1"/>
      <w:marLeft w:val="0"/>
      <w:marRight w:val="0"/>
      <w:marTop w:val="0"/>
      <w:marBottom w:val="0"/>
      <w:divBdr>
        <w:top w:val="none" w:sz="0" w:space="0" w:color="auto"/>
        <w:left w:val="none" w:sz="0" w:space="0" w:color="auto"/>
        <w:bottom w:val="none" w:sz="0" w:space="0" w:color="auto"/>
        <w:right w:val="none" w:sz="0" w:space="0" w:color="auto"/>
      </w:divBdr>
    </w:div>
    <w:div w:id="631054469">
      <w:bodyDiv w:val="1"/>
      <w:marLeft w:val="0"/>
      <w:marRight w:val="0"/>
      <w:marTop w:val="0"/>
      <w:marBottom w:val="0"/>
      <w:divBdr>
        <w:top w:val="none" w:sz="0" w:space="0" w:color="auto"/>
        <w:left w:val="none" w:sz="0" w:space="0" w:color="auto"/>
        <w:bottom w:val="none" w:sz="0" w:space="0" w:color="auto"/>
        <w:right w:val="none" w:sz="0" w:space="0" w:color="auto"/>
      </w:divBdr>
    </w:div>
    <w:div w:id="691107427">
      <w:bodyDiv w:val="1"/>
      <w:marLeft w:val="0"/>
      <w:marRight w:val="0"/>
      <w:marTop w:val="0"/>
      <w:marBottom w:val="0"/>
      <w:divBdr>
        <w:top w:val="none" w:sz="0" w:space="0" w:color="auto"/>
        <w:left w:val="none" w:sz="0" w:space="0" w:color="auto"/>
        <w:bottom w:val="none" w:sz="0" w:space="0" w:color="auto"/>
        <w:right w:val="none" w:sz="0" w:space="0" w:color="auto"/>
      </w:divBdr>
    </w:div>
    <w:div w:id="850874457">
      <w:bodyDiv w:val="1"/>
      <w:marLeft w:val="0"/>
      <w:marRight w:val="0"/>
      <w:marTop w:val="0"/>
      <w:marBottom w:val="0"/>
      <w:divBdr>
        <w:top w:val="none" w:sz="0" w:space="0" w:color="auto"/>
        <w:left w:val="none" w:sz="0" w:space="0" w:color="auto"/>
        <w:bottom w:val="none" w:sz="0" w:space="0" w:color="auto"/>
        <w:right w:val="none" w:sz="0" w:space="0" w:color="auto"/>
      </w:divBdr>
    </w:div>
    <w:div w:id="1551110411">
      <w:bodyDiv w:val="1"/>
      <w:marLeft w:val="0"/>
      <w:marRight w:val="0"/>
      <w:marTop w:val="0"/>
      <w:marBottom w:val="0"/>
      <w:divBdr>
        <w:top w:val="none" w:sz="0" w:space="0" w:color="auto"/>
        <w:left w:val="none" w:sz="0" w:space="0" w:color="auto"/>
        <w:bottom w:val="none" w:sz="0" w:space="0" w:color="auto"/>
        <w:right w:val="none" w:sz="0" w:space="0" w:color="auto"/>
      </w:divBdr>
    </w:div>
    <w:div w:id="1551385531">
      <w:bodyDiv w:val="1"/>
      <w:marLeft w:val="0"/>
      <w:marRight w:val="0"/>
      <w:marTop w:val="0"/>
      <w:marBottom w:val="0"/>
      <w:divBdr>
        <w:top w:val="none" w:sz="0" w:space="0" w:color="auto"/>
        <w:left w:val="none" w:sz="0" w:space="0" w:color="auto"/>
        <w:bottom w:val="none" w:sz="0" w:space="0" w:color="auto"/>
        <w:right w:val="none" w:sz="0" w:space="0" w:color="auto"/>
      </w:divBdr>
    </w:div>
    <w:div w:id="1621952785">
      <w:bodyDiv w:val="1"/>
      <w:marLeft w:val="0"/>
      <w:marRight w:val="0"/>
      <w:marTop w:val="0"/>
      <w:marBottom w:val="0"/>
      <w:divBdr>
        <w:top w:val="none" w:sz="0" w:space="0" w:color="auto"/>
        <w:left w:val="none" w:sz="0" w:space="0" w:color="auto"/>
        <w:bottom w:val="none" w:sz="0" w:space="0" w:color="auto"/>
        <w:right w:val="none" w:sz="0" w:space="0" w:color="auto"/>
      </w:divBdr>
    </w:div>
    <w:div w:id="1712487057">
      <w:bodyDiv w:val="1"/>
      <w:marLeft w:val="0"/>
      <w:marRight w:val="0"/>
      <w:marTop w:val="0"/>
      <w:marBottom w:val="0"/>
      <w:divBdr>
        <w:top w:val="none" w:sz="0" w:space="0" w:color="auto"/>
        <w:left w:val="none" w:sz="0" w:space="0" w:color="auto"/>
        <w:bottom w:val="none" w:sz="0" w:space="0" w:color="auto"/>
        <w:right w:val="none" w:sz="0" w:space="0" w:color="auto"/>
      </w:divBdr>
    </w:div>
    <w:div w:id="1790465995">
      <w:bodyDiv w:val="1"/>
      <w:marLeft w:val="0"/>
      <w:marRight w:val="0"/>
      <w:marTop w:val="0"/>
      <w:marBottom w:val="0"/>
      <w:divBdr>
        <w:top w:val="none" w:sz="0" w:space="0" w:color="auto"/>
        <w:left w:val="none" w:sz="0" w:space="0" w:color="auto"/>
        <w:bottom w:val="none" w:sz="0" w:space="0" w:color="auto"/>
        <w:right w:val="none" w:sz="0" w:space="0" w:color="auto"/>
      </w:divBdr>
    </w:div>
    <w:div w:id="20792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http://?" TargetMode="External"/>
	<Relationship Id="rId4" Type="http://schemas.openxmlformats.org/officeDocument/2006/relationships/settings" Target="settings.xml"/>
	<Relationship Id="rId9" Type="http://schemas.openxmlformats.org/officeDocument/2006/relationships/hyperlink" Target="http://?" TargetMode="External"/>
</Relationships>
</file>

<file path=word/_rels/footnotes.xml.rels><?xml version="1.0" encoding="UTF-8" standalone="yes"?>
<Relationships xmlns="http://schemas.openxmlformats.org/package/2006/relationships">
	<Relationship Id="rId1" Type="http://schemas.openxmlformats.org/officeDocument/2006/relationships/hyperlink" Target="http://?"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4F848-B52B-4B65-889E-BE67B4D587D2}">
  <ds:schemaRefs>
    <ds:schemaRef ds:uri="http://schemas.openxmlformats.org/officeDocument/2006/bibliography"/>
  </ds:schemaRefs>
</ds:datastoreItem>
</file>

<file path=docMetadata/LabelInfo.xml><?xml version="1.0" encoding="utf-8"?>
<clbl:labelList xmlns:clbl="http://schemas.microsoft.com/office/2020/mipLabelMetadata">
  <clbl:label id="{87867195-f2b8-4ac2-b0b6-6bb73cb33af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1548</Words>
  <Characters>8827</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Yongseok SEO</dc:creator>
  <cp:keywords/>
  <dc:description/>
  <cp:lastModifiedBy>Martha Suarez</cp:lastModifiedBy>
  <cp:revision>4</cp:revision>
  <cp:lastPrinted>2025-05-29T16:24:00Z</cp:lastPrinted>
  <dcterms:created xsi:type="dcterms:W3CDTF">2025-05-30T12:47:00Z</dcterms:created>
  <dcterms:modified xsi:type="dcterms:W3CDTF">2025-05-30T12:53:00Z</dcterms:modified>
</cp:coreProperties>
</file>