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648E" w14:textId="77777777" w:rsidR="008F1F10" w:rsidRPr="004874D3" w:rsidRDefault="006C1E67" w:rsidP="004A44EA">
      <w:pPr>
        <w:tabs>
          <w:tab w:val="left" w:pos="3810"/>
        </w:tabs>
        <w:spacing w:after="152" w:line="259" w:lineRule="auto"/>
        <w:ind w:left="0" w:right="0" w:firstLine="0"/>
        <w:jc w:val="left"/>
        <w:rPr>
          <w:rFonts w:eastAsia="Times New Roman"/>
          <w:b/>
          <w:color w:val="808080"/>
          <w:lang w:eastAsia="zh-TW"/>
        </w:rPr>
      </w:pPr>
      <w:r w:rsidRPr="004D753A">
        <w:t xml:space="preserve"> </w:t>
      </w:r>
      <w:r w:rsidR="004A44EA">
        <w:tab/>
      </w:r>
      <w:r w:rsidR="008F1F10" w:rsidRPr="004874D3">
        <w:rPr>
          <w:noProof/>
        </w:rPr>
        <w:drawing>
          <wp:inline distT="0" distB="0" distL="0" distR="0" wp14:anchorId="02C96428" wp14:editId="03140244">
            <wp:extent cx="1188709" cy="10177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969" cy="1018846"/>
                    </a:xfrm>
                    <a:prstGeom prst="rect">
                      <a:avLst/>
                    </a:prstGeom>
                  </pic:spPr>
                </pic:pic>
              </a:graphicData>
            </a:graphic>
          </wp:inline>
        </w:drawing>
      </w:r>
    </w:p>
    <w:p w14:paraId="21808E87" w14:textId="77777777" w:rsidR="008F1F10" w:rsidRPr="00770504" w:rsidRDefault="008F1F10" w:rsidP="008F1F10">
      <w:pPr>
        <w:tabs>
          <w:tab w:val="center" w:pos="4320"/>
          <w:tab w:val="right" w:pos="8640"/>
        </w:tabs>
        <w:spacing w:after="0" w:line="240" w:lineRule="auto"/>
        <w:ind w:left="0" w:right="0" w:firstLine="0"/>
        <w:jc w:val="center"/>
        <w:rPr>
          <w:rFonts w:eastAsia="Times New Roman"/>
          <w:b/>
          <w:color w:val="808080"/>
          <w:sz w:val="24"/>
          <w:szCs w:val="24"/>
          <w:lang w:eastAsia="zh-TW"/>
        </w:rPr>
      </w:pPr>
      <w:r w:rsidRPr="00770504">
        <w:rPr>
          <w:rFonts w:eastAsia="Times New Roman"/>
          <w:b/>
          <w:color w:val="808080"/>
          <w:sz w:val="24"/>
          <w:szCs w:val="24"/>
          <w:lang w:eastAsia="zh-TW"/>
        </w:rPr>
        <w:t>Independent Communications Authority of South Africa</w:t>
      </w:r>
    </w:p>
    <w:p w14:paraId="5BE89CF2" w14:textId="77777777" w:rsidR="008F1F10" w:rsidRPr="00770504" w:rsidRDefault="008F1F10" w:rsidP="008F1F10">
      <w:pPr>
        <w:tabs>
          <w:tab w:val="center" w:pos="4320"/>
          <w:tab w:val="right" w:pos="8640"/>
        </w:tabs>
        <w:spacing w:after="0" w:line="240" w:lineRule="auto"/>
        <w:ind w:left="0" w:right="0" w:firstLine="0"/>
        <w:jc w:val="center"/>
        <w:rPr>
          <w:rFonts w:eastAsia="Times New Roman"/>
          <w:color w:val="808080"/>
          <w:sz w:val="24"/>
          <w:szCs w:val="24"/>
          <w:lang w:eastAsia="zh-TW"/>
        </w:rPr>
      </w:pPr>
      <w:r w:rsidRPr="00770504">
        <w:rPr>
          <w:rFonts w:eastAsia="Times New Roman"/>
          <w:color w:val="808080"/>
          <w:sz w:val="24"/>
          <w:szCs w:val="24"/>
          <w:lang w:eastAsia="zh-TW"/>
        </w:rPr>
        <w:t>350 Witch-Hazel Avenue, Eco Point Office Park</w:t>
      </w:r>
    </w:p>
    <w:p w14:paraId="05D9C9D5" w14:textId="77777777" w:rsidR="008F1F10" w:rsidRPr="00770504" w:rsidRDefault="008F1F10" w:rsidP="008F1F10">
      <w:pPr>
        <w:tabs>
          <w:tab w:val="center" w:pos="4320"/>
          <w:tab w:val="right" w:pos="8640"/>
        </w:tabs>
        <w:spacing w:after="0" w:line="240" w:lineRule="auto"/>
        <w:ind w:left="0" w:right="0" w:firstLine="0"/>
        <w:jc w:val="center"/>
        <w:rPr>
          <w:rFonts w:eastAsia="Times New Roman"/>
          <w:color w:val="808080"/>
          <w:sz w:val="24"/>
          <w:szCs w:val="24"/>
          <w:lang w:eastAsia="zh-TW"/>
        </w:rPr>
      </w:pPr>
      <w:r w:rsidRPr="00770504">
        <w:rPr>
          <w:rFonts w:eastAsia="Times New Roman"/>
          <w:color w:val="808080"/>
          <w:sz w:val="24"/>
          <w:szCs w:val="24"/>
          <w:lang w:eastAsia="zh-TW"/>
        </w:rPr>
        <w:t>Eco Park, Centurion</w:t>
      </w:r>
    </w:p>
    <w:p w14:paraId="0F20A2A9" w14:textId="77777777" w:rsidR="008F1F10" w:rsidRPr="00770504" w:rsidRDefault="008F1F10" w:rsidP="008F1F10">
      <w:pPr>
        <w:tabs>
          <w:tab w:val="center" w:pos="4320"/>
          <w:tab w:val="right" w:pos="8640"/>
        </w:tabs>
        <w:spacing w:after="0" w:line="240" w:lineRule="auto"/>
        <w:ind w:left="0" w:right="0" w:firstLine="0"/>
        <w:jc w:val="center"/>
        <w:rPr>
          <w:rFonts w:eastAsia="Times New Roman"/>
          <w:color w:val="auto"/>
          <w:sz w:val="24"/>
          <w:szCs w:val="24"/>
          <w:lang w:eastAsia="zh-TW"/>
        </w:rPr>
      </w:pPr>
      <w:r w:rsidRPr="00770504">
        <w:rPr>
          <w:rFonts w:eastAsia="Times New Roman"/>
          <w:color w:val="808080"/>
          <w:sz w:val="24"/>
          <w:szCs w:val="24"/>
          <w:lang w:eastAsia="zh-TW"/>
        </w:rPr>
        <w:t>Private Bag X10, Highveld Park 0169</w:t>
      </w:r>
    </w:p>
    <w:p w14:paraId="720CDC4C" w14:textId="77777777" w:rsidR="005449D0" w:rsidRDefault="005449D0">
      <w:pPr>
        <w:spacing w:after="0" w:line="259" w:lineRule="auto"/>
        <w:ind w:left="932" w:right="0"/>
        <w:jc w:val="center"/>
      </w:pPr>
    </w:p>
    <w:p w14:paraId="726C4492" w14:textId="77777777" w:rsidR="004A44EA" w:rsidRPr="004874D3" w:rsidRDefault="004A44EA">
      <w:pPr>
        <w:spacing w:after="0" w:line="259" w:lineRule="auto"/>
        <w:ind w:left="932" w:right="0"/>
        <w:jc w:val="center"/>
      </w:pPr>
    </w:p>
    <w:p w14:paraId="3E8F83B5" w14:textId="77777777" w:rsidR="005449D0" w:rsidRPr="00612627" w:rsidRDefault="00CB30EB" w:rsidP="00612627">
      <w:pPr>
        <w:spacing w:after="0" w:line="360" w:lineRule="auto"/>
        <w:ind w:left="0" w:right="0" w:firstLine="0"/>
        <w:rPr>
          <w:rStyle w:val="markedcontent"/>
          <w:rFonts w:ascii="Verdana" w:hAnsi="Verdana"/>
          <w:b/>
          <w:bCs/>
        </w:rPr>
      </w:pPr>
      <w:r w:rsidRPr="00612627">
        <w:rPr>
          <w:rStyle w:val="markedcontent"/>
          <w:rFonts w:ascii="Verdana" w:hAnsi="Verdana"/>
          <w:b/>
          <w:bCs/>
        </w:rPr>
        <w:t xml:space="preserve">BRIEFING NOTE ON THE AUTHORITY’S RESPONSE TO STAKEHOLDERS’ QUESTIONS OF CLARITY ON THE </w:t>
      </w:r>
      <w:r w:rsidRPr="00612627">
        <w:rPr>
          <w:rFonts w:ascii="Verdana" w:hAnsi="Verdana"/>
          <w:b/>
          <w:bCs/>
          <w:lang w:val="en-US"/>
        </w:rPr>
        <w:t>INQUIRY FOR THE IMPLEMENTATION OF THE RADIO FREQUENCY MIGRATION PLAN AND OF THE INTERNATIONAL MOBILE TELECOMMUNICATIONS (IMT) ROADMAP (“THE INQUIRY”) FOR CONSULTATION</w:t>
      </w:r>
      <w:r w:rsidR="00D87933" w:rsidRPr="00612627">
        <w:rPr>
          <w:rFonts w:ascii="Verdana" w:hAnsi="Verdana"/>
          <w:b/>
          <w:bCs/>
          <w:lang w:val="en-US"/>
        </w:rPr>
        <w:t xml:space="preserve"> </w:t>
      </w:r>
      <w:r w:rsidRPr="00612627">
        <w:rPr>
          <w:rFonts w:ascii="Verdana" w:hAnsi="Verdana"/>
          <w:b/>
          <w:bCs/>
          <w:lang w:val="en-US"/>
        </w:rPr>
        <w:t>IN TERMS OF SECTION 4B OF THE INDEPENDENT COMMUNICATIONS AUTHORITY OF SOUTH AFRICA ACT, 2000 (ACT NO. 13 OF 2000).</w:t>
      </w:r>
    </w:p>
    <w:p w14:paraId="22BC9B89" w14:textId="77777777" w:rsidR="002A125F" w:rsidRPr="00612627" w:rsidRDefault="002A125F" w:rsidP="00612627">
      <w:pPr>
        <w:spacing w:after="0" w:line="360" w:lineRule="auto"/>
        <w:ind w:left="0" w:right="0" w:firstLine="0"/>
        <w:rPr>
          <w:rStyle w:val="markedcontent"/>
          <w:rFonts w:ascii="Verdana" w:hAnsi="Verdana"/>
          <w:b/>
          <w:bCs/>
        </w:rPr>
      </w:pPr>
    </w:p>
    <w:p w14:paraId="38A79603" w14:textId="77777777" w:rsidR="002A125F" w:rsidRPr="00612627" w:rsidRDefault="002A125F" w:rsidP="00612627">
      <w:pPr>
        <w:spacing w:after="0" w:line="360" w:lineRule="auto"/>
        <w:ind w:left="0" w:right="0" w:firstLine="0"/>
        <w:rPr>
          <w:rStyle w:val="markedcontent"/>
          <w:rFonts w:ascii="Verdana" w:hAnsi="Verdana"/>
          <w:b/>
          <w:bCs/>
        </w:rPr>
      </w:pPr>
      <w:r w:rsidRPr="00612627">
        <w:rPr>
          <w:rStyle w:val="markedcontent"/>
          <w:rFonts w:ascii="Verdana" w:hAnsi="Verdana"/>
          <w:b/>
          <w:bCs/>
        </w:rPr>
        <w:t xml:space="preserve">Date of issue: </w:t>
      </w:r>
      <w:r w:rsidR="00CB30EB" w:rsidRPr="00612627">
        <w:rPr>
          <w:rStyle w:val="markedcontent"/>
          <w:rFonts w:ascii="Verdana" w:hAnsi="Verdana"/>
          <w:b/>
          <w:bCs/>
        </w:rPr>
        <w:t>30 September 2021</w:t>
      </w:r>
    </w:p>
    <w:p w14:paraId="1032B042" w14:textId="77777777" w:rsidR="00CB30EB" w:rsidRPr="00612627" w:rsidRDefault="00CB30EB" w:rsidP="00612627">
      <w:pPr>
        <w:spacing w:after="0" w:line="360" w:lineRule="auto"/>
        <w:ind w:left="0" w:right="0" w:firstLine="0"/>
        <w:rPr>
          <w:rStyle w:val="markedcontent"/>
          <w:rFonts w:ascii="Verdana" w:hAnsi="Verdana"/>
          <w:b/>
          <w:bCs/>
        </w:rPr>
      </w:pPr>
      <w:r w:rsidRPr="00612627">
        <w:rPr>
          <w:rStyle w:val="markedcontent"/>
          <w:rFonts w:ascii="Verdana" w:hAnsi="Verdana"/>
          <w:b/>
          <w:bCs/>
        </w:rPr>
        <w:t xml:space="preserve">Government Gazette Number </w:t>
      </w:r>
      <w:r w:rsidRPr="00612627">
        <w:rPr>
          <w:rFonts w:ascii="Verdana" w:hAnsi="Verdana"/>
          <w:b/>
          <w:bCs/>
          <w:lang w:val="en-US"/>
        </w:rPr>
        <w:t>45247 (Notice 580 of 2021)</w:t>
      </w:r>
    </w:p>
    <w:p w14:paraId="03A08C2D" w14:textId="77777777" w:rsidR="002A125F" w:rsidRPr="00612627" w:rsidRDefault="002A125F" w:rsidP="00B80E62">
      <w:pPr>
        <w:spacing w:after="0" w:line="276" w:lineRule="auto"/>
        <w:ind w:left="0" w:right="0" w:firstLine="0"/>
        <w:rPr>
          <w:rStyle w:val="markedcontent"/>
          <w:rFonts w:ascii="Verdana" w:hAnsi="Verdana"/>
          <w:b/>
          <w:bCs/>
        </w:rPr>
      </w:pPr>
    </w:p>
    <w:p w14:paraId="412E56AA" w14:textId="77777777" w:rsidR="002A125F" w:rsidRPr="00612627" w:rsidRDefault="008411E1" w:rsidP="00411DC7">
      <w:pPr>
        <w:pStyle w:val="ListParagraph"/>
        <w:numPr>
          <w:ilvl w:val="0"/>
          <w:numId w:val="3"/>
        </w:numPr>
        <w:spacing w:after="0" w:line="360" w:lineRule="auto"/>
        <w:ind w:left="720" w:right="0" w:hanging="720"/>
        <w:rPr>
          <w:rFonts w:ascii="Verdana" w:hAnsi="Verdana"/>
          <w:b/>
          <w:bCs/>
        </w:rPr>
      </w:pPr>
      <w:r w:rsidRPr="00612627">
        <w:rPr>
          <w:rFonts w:ascii="Verdana" w:hAnsi="Verdana"/>
          <w:b/>
          <w:bCs/>
        </w:rPr>
        <w:t>Background</w:t>
      </w:r>
    </w:p>
    <w:p w14:paraId="29BF9A11" w14:textId="77777777" w:rsidR="001A795B" w:rsidRPr="00612627" w:rsidRDefault="001A795B" w:rsidP="00612627">
      <w:pPr>
        <w:pStyle w:val="ListParagraph"/>
        <w:spacing w:after="0" w:line="360" w:lineRule="auto"/>
        <w:ind w:left="567" w:right="0" w:firstLine="0"/>
        <w:rPr>
          <w:rFonts w:ascii="Verdana" w:hAnsi="Verdana"/>
          <w:b/>
          <w:bCs/>
        </w:rPr>
      </w:pPr>
    </w:p>
    <w:p w14:paraId="36863DA4" w14:textId="77777777" w:rsidR="00F4388F" w:rsidRPr="00612627" w:rsidRDefault="00575919" w:rsidP="00612627">
      <w:pPr>
        <w:pStyle w:val="ListParagraph"/>
        <w:numPr>
          <w:ilvl w:val="1"/>
          <w:numId w:val="3"/>
        </w:numPr>
        <w:spacing w:after="0" w:line="360" w:lineRule="auto"/>
        <w:ind w:left="720" w:right="0" w:hanging="720"/>
        <w:rPr>
          <w:rFonts w:ascii="Verdana" w:hAnsi="Verdana"/>
        </w:rPr>
      </w:pPr>
      <w:r w:rsidRPr="00612627">
        <w:rPr>
          <w:rFonts w:ascii="Verdana" w:hAnsi="Verdana"/>
        </w:rPr>
        <w:t xml:space="preserve">On </w:t>
      </w:r>
      <w:r w:rsidR="00CB30EB" w:rsidRPr="00612627">
        <w:rPr>
          <w:rFonts w:ascii="Verdana" w:hAnsi="Verdana"/>
        </w:rPr>
        <w:t xml:space="preserve">30 September </w:t>
      </w:r>
      <w:r w:rsidR="00546B89" w:rsidRPr="00612627">
        <w:rPr>
          <w:rFonts w:ascii="Verdana" w:hAnsi="Verdana"/>
        </w:rPr>
        <w:t>2021, the Independent Communications Authority of South Africa (“Authority</w:t>
      </w:r>
      <w:r w:rsidR="001045FA" w:rsidRPr="00612627">
        <w:rPr>
          <w:rFonts w:ascii="Verdana" w:hAnsi="Verdana"/>
        </w:rPr>
        <w:t>/ ICASA</w:t>
      </w:r>
      <w:r w:rsidR="00546B89" w:rsidRPr="00612627">
        <w:rPr>
          <w:rFonts w:ascii="Verdana" w:hAnsi="Verdana"/>
        </w:rPr>
        <w:t>”) published t</w:t>
      </w:r>
      <w:r w:rsidRPr="00612627">
        <w:rPr>
          <w:rFonts w:ascii="Verdana" w:hAnsi="Verdana"/>
        </w:rPr>
        <w:t>he</w:t>
      </w:r>
      <w:r w:rsidR="0021311D" w:rsidRPr="00612627">
        <w:rPr>
          <w:rFonts w:ascii="Verdana" w:hAnsi="Verdana"/>
        </w:rPr>
        <w:t xml:space="preserve"> </w:t>
      </w:r>
      <w:r w:rsidR="0021311D" w:rsidRPr="005B5A8B">
        <w:rPr>
          <w:rFonts w:ascii="Verdana" w:hAnsi="Verdana"/>
          <w:b/>
        </w:rPr>
        <w:t xml:space="preserve">Notice </w:t>
      </w:r>
      <w:r w:rsidR="00CB30EB" w:rsidRPr="005B5A8B">
        <w:rPr>
          <w:rFonts w:ascii="Verdana" w:hAnsi="Verdana"/>
          <w:b/>
          <w:lang w:val="en-US"/>
        </w:rPr>
        <w:t>on</w:t>
      </w:r>
      <w:r w:rsidR="00CB30EB" w:rsidRPr="00612627">
        <w:rPr>
          <w:rFonts w:ascii="Verdana" w:hAnsi="Verdana"/>
          <w:lang w:val="en-US"/>
        </w:rPr>
        <w:t xml:space="preserve"> </w:t>
      </w:r>
      <w:r w:rsidR="00CB30EB" w:rsidRPr="00612627">
        <w:rPr>
          <w:rFonts w:ascii="Verdana" w:hAnsi="Verdana"/>
          <w:b/>
          <w:bCs/>
          <w:lang w:val="en-US"/>
        </w:rPr>
        <w:t xml:space="preserve">the </w:t>
      </w:r>
      <w:r w:rsidR="00A35ABD">
        <w:rPr>
          <w:rFonts w:ascii="Verdana" w:hAnsi="Verdana"/>
          <w:b/>
          <w:bCs/>
          <w:lang w:val="en-US"/>
        </w:rPr>
        <w:t>I</w:t>
      </w:r>
      <w:r w:rsidR="00CB30EB" w:rsidRPr="00612627">
        <w:rPr>
          <w:rFonts w:ascii="Verdana" w:hAnsi="Verdana"/>
          <w:b/>
          <w:bCs/>
          <w:lang w:val="en-US"/>
        </w:rPr>
        <w:t xml:space="preserve">nquiry for the implementation of the Radio Frequency Migration Plan and of the International Mobile Telecommunications (IMT) Roadmap (“the Inquiry”) </w:t>
      </w:r>
      <w:r w:rsidR="00CB30EB" w:rsidRPr="00612627">
        <w:rPr>
          <w:rFonts w:ascii="Verdana" w:hAnsi="Verdana"/>
          <w:lang w:val="en-US"/>
        </w:rPr>
        <w:t>for consultation in terms of section 4B of the Independent Communications Authority of South Africa Act, 2000 (Act No. 13 of 2000).</w:t>
      </w:r>
    </w:p>
    <w:p w14:paraId="56F790A6" w14:textId="77777777" w:rsidR="00CB30EB" w:rsidRPr="00612627" w:rsidRDefault="00CB30EB" w:rsidP="00612627">
      <w:pPr>
        <w:pStyle w:val="ListParagraph"/>
        <w:spacing w:after="0" w:line="360" w:lineRule="auto"/>
        <w:ind w:right="0" w:firstLine="0"/>
        <w:rPr>
          <w:rFonts w:ascii="Verdana" w:hAnsi="Verdana"/>
        </w:rPr>
      </w:pPr>
    </w:p>
    <w:p w14:paraId="72750280" w14:textId="77777777" w:rsidR="00DE5A33" w:rsidRPr="00612627" w:rsidRDefault="00F4388F" w:rsidP="00612627">
      <w:pPr>
        <w:pStyle w:val="ListParagraph"/>
        <w:numPr>
          <w:ilvl w:val="1"/>
          <w:numId w:val="3"/>
        </w:numPr>
        <w:spacing w:after="0" w:line="360" w:lineRule="auto"/>
        <w:ind w:left="720" w:right="0" w:hanging="720"/>
        <w:rPr>
          <w:rFonts w:ascii="Verdana" w:hAnsi="Verdana"/>
        </w:rPr>
      </w:pPr>
      <w:r w:rsidRPr="00612627">
        <w:rPr>
          <w:rFonts w:ascii="Verdana" w:hAnsi="Verdana"/>
        </w:rPr>
        <w:t>On</w:t>
      </w:r>
      <w:r w:rsidR="000F0515" w:rsidRPr="00612627">
        <w:rPr>
          <w:rFonts w:ascii="Verdana" w:hAnsi="Verdana"/>
        </w:rPr>
        <w:t xml:space="preserve"> </w:t>
      </w:r>
      <w:r w:rsidR="00CB30EB" w:rsidRPr="00612627">
        <w:rPr>
          <w:rFonts w:ascii="Verdana" w:hAnsi="Verdana"/>
        </w:rPr>
        <w:t>15 October 2021</w:t>
      </w:r>
      <w:r w:rsidRPr="00612627">
        <w:rPr>
          <w:rFonts w:ascii="Verdana" w:hAnsi="Verdana"/>
        </w:rPr>
        <w:t xml:space="preserve">, the Authority </w:t>
      </w:r>
      <w:r w:rsidR="00CB30EB" w:rsidRPr="00612627">
        <w:rPr>
          <w:rFonts w:ascii="Verdana" w:hAnsi="Verdana"/>
        </w:rPr>
        <w:t xml:space="preserve">received questions for clarity from Sentech and Telkom </w:t>
      </w:r>
      <w:r w:rsidR="00CB30EB" w:rsidRPr="00612627">
        <w:rPr>
          <w:rFonts w:ascii="Verdana" w:hAnsi="Verdana"/>
          <w:lang w:val="en-US"/>
        </w:rPr>
        <w:t>SA SOC LTD ("Telkom”)</w:t>
      </w:r>
    </w:p>
    <w:p w14:paraId="0DEDCC4F" w14:textId="77777777" w:rsidR="0000084B" w:rsidRPr="00612627" w:rsidRDefault="0000084B" w:rsidP="00612627">
      <w:pPr>
        <w:pStyle w:val="ListParagraph"/>
        <w:spacing w:line="360" w:lineRule="auto"/>
        <w:ind w:hanging="720"/>
        <w:rPr>
          <w:rFonts w:ascii="Verdana" w:hAnsi="Verdana"/>
        </w:rPr>
      </w:pPr>
    </w:p>
    <w:p w14:paraId="76C3A413" w14:textId="1CC3D0C5" w:rsidR="00C87941" w:rsidRPr="00612627" w:rsidRDefault="00F63EEE" w:rsidP="00612627">
      <w:pPr>
        <w:pStyle w:val="ListParagraph"/>
        <w:numPr>
          <w:ilvl w:val="1"/>
          <w:numId w:val="3"/>
        </w:numPr>
        <w:spacing w:after="0" w:line="360" w:lineRule="auto"/>
        <w:ind w:left="709" w:right="0" w:hanging="709"/>
        <w:rPr>
          <w:rFonts w:ascii="Verdana" w:hAnsi="Verdana"/>
        </w:rPr>
      </w:pPr>
      <w:r w:rsidRPr="00612627">
        <w:rPr>
          <w:rFonts w:ascii="Verdana" w:hAnsi="Verdana"/>
        </w:rPr>
        <w:t xml:space="preserve">The </w:t>
      </w:r>
      <w:r w:rsidR="006E6A60" w:rsidRPr="00612627">
        <w:rPr>
          <w:rFonts w:ascii="Verdana" w:hAnsi="Verdana"/>
        </w:rPr>
        <w:t xml:space="preserve">questions of clarity raised by </w:t>
      </w:r>
      <w:r w:rsidR="0055678A" w:rsidRPr="00612627">
        <w:rPr>
          <w:rFonts w:ascii="Verdana" w:hAnsi="Verdana"/>
        </w:rPr>
        <w:t>various</w:t>
      </w:r>
      <w:r w:rsidR="006E6A60" w:rsidRPr="00612627">
        <w:rPr>
          <w:rFonts w:ascii="Verdana" w:hAnsi="Verdana"/>
        </w:rPr>
        <w:t xml:space="preserve"> stakeholders </w:t>
      </w:r>
      <w:r w:rsidR="00051D90" w:rsidRPr="00612627">
        <w:rPr>
          <w:rFonts w:ascii="Verdana" w:hAnsi="Verdana"/>
        </w:rPr>
        <w:t xml:space="preserve">have been </w:t>
      </w:r>
      <w:r w:rsidR="006E6A60" w:rsidRPr="00612627">
        <w:rPr>
          <w:rFonts w:ascii="Verdana" w:hAnsi="Verdana"/>
        </w:rPr>
        <w:t>s</w:t>
      </w:r>
      <w:r w:rsidRPr="00612627">
        <w:rPr>
          <w:rFonts w:ascii="Verdana" w:hAnsi="Verdana"/>
        </w:rPr>
        <w:t xml:space="preserve">ummarised </w:t>
      </w:r>
      <w:r w:rsidR="00051D90" w:rsidRPr="00612627">
        <w:rPr>
          <w:rFonts w:ascii="Verdana" w:hAnsi="Verdana"/>
        </w:rPr>
        <w:t xml:space="preserve">and are set out </w:t>
      </w:r>
      <w:r w:rsidRPr="00612627">
        <w:rPr>
          <w:rFonts w:ascii="Verdana" w:hAnsi="Verdana"/>
        </w:rPr>
        <w:t>below, followed by the Authority’s response</w:t>
      </w:r>
      <w:r w:rsidR="00ED3243" w:rsidRPr="00612627">
        <w:rPr>
          <w:rFonts w:ascii="Verdana" w:hAnsi="Verdana"/>
        </w:rPr>
        <w:t xml:space="preserve"> to each question</w:t>
      </w:r>
      <w:r w:rsidRPr="00612627">
        <w:rPr>
          <w:rFonts w:ascii="Verdana" w:hAnsi="Verdana"/>
        </w:rPr>
        <w:t xml:space="preserve">. The focus is on the </w:t>
      </w:r>
      <w:r w:rsidR="0055678A" w:rsidRPr="00612627">
        <w:rPr>
          <w:rFonts w:ascii="Verdana" w:hAnsi="Verdana"/>
        </w:rPr>
        <w:t>key issues raised</w:t>
      </w:r>
      <w:r w:rsidRPr="00612627">
        <w:rPr>
          <w:rFonts w:ascii="Verdana" w:hAnsi="Verdana"/>
        </w:rPr>
        <w:t xml:space="preserve"> in the</w:t>
      </w:r>
      <w:r w:rsidR="00D87933" w:rsidRPr="00612627">
        <w:rPr>
          <w:rFonts w:ascii="Verdana" w:hAnsi="Verdana"/>
        </w:rPr>
        <w:t xml:space="preserve"> </w:t>
      </w:r>
      <w:r w:rsidRPr="00612627">
        <w:rPr>
          <w:rFonts w:ascii="Verdana" w:hAnsi="Verdana"/>
        </w:rPr>
        <w:t>submissions</w:t>
      </w:r>
      <w:r w:rsidR="00A35ABD">
        <w:rPr>
          <w:rFonts w:ascii="Verdana" w:hAnsi="Verdana"/>
        </w:rPr>
        <w:t xml:space="preserve"> </w:t>
      </w:r>
      <w:r w:rsidR="009967B7">
        <w:rPr>
          <w:rFonts w:ascii="Verdana" w:hAnsi="Verdana"/>
        </w:rPr>
        <w:t>received</w:t>
      </w:r>
      <w:r w:rsidR="00953CF5" w:rsidRPr="00612627">
        <w:rPr>
          <w:rFonts w:ascii="Verdana" w:hAnsi="Verdana"/>
        </w:rPr>
        <w:t>,</w:t>
      </w:r>
      <w:r w:rsidRPr="00612627">
        <w:rPr>
          <w:rFonts w:ascii="Verdana" w:hAnsi="Verdana"/>
        </w:rPr>
        <w:t xml:space="preserve"> and not </w:t>
      </w:r>
      <w:r w:rsidR="004B4A88" w:rsidRPr="00612627">
        <w:rPr>
          <w:rFonts w:ascii="Verdana" w:hAnsi="Verdana"/>
        </w:rPr>
        <w:t xml:space="preserve">necessarily </w:t>
      </w:r>
      <w:r w:rsidRPr="00612627">
        <w:rPr>
          <w:rFonts w:ascii="Verdana" w:hAnsi="Verdana"/>
        </w:rPr>
        <w:t xml:space="preserve">to respond to </w:t>
      </w:r>
      <w:proofErr w:type="gramStart"/>
      <w:r w:rsidR="00D66189" w:rsidRPr="00612627">
        <w:rPr>
          <w:rFonts w:ascii="Verdana" w:hAnsi="Verdana"/>
        </w:rPr>
        <w:t>each</w:t>
      </w:r>
      <w:r w:rsidRPr="00612627">
        <w:rPr>
          <w:rFonts w:ascii="Verdana" w:hAnsi="Verdana"/>
        </w:rPr>
        <w:t xml:space="preserve"> </w:t>
      </w:r>
      <w:r w:rsidR="00D748E6" w:rsidRPr="00612627">
        <w:rPr>
          <w:rFonts w:ascii="Verdana" w:hAnsi="Verdana"/>
        </w:rPr>
        <w:t>and every</w:t>
      </w:r>
      <w:proofErr w:type="gramEnd"/>
      <w:r w:rsidR="00D748E6" w:rsidRPr="00612627">
        <w:rPr>
          <w:rFonts w:ascii="Verdana" w:hAnsi="Verdana"/>
        </w:rPr>
        <w:t xml:space="preserve"> </w:t>
      </w:r>
      <w:r w:rsidRPr="00612627">
        <w:rPr>
          <w:rFonts w:ascii="Verdana" w:hAnsi="Verdana"/>
        </w:rPr>
        <w:t>point made</w:t>
      </w:r>
      <w:r w:rsidR="0055678A" w:rsidRPr="00612627">
        <w:rPr>
          <w:rFonts w:ascii="Verdana" w:hAnsi="Verdana"/>
        </w:rPr>
        <w:t xml:space="preserve"> by stakeholders</w:t>
      </w:r>
      <w:r w:rsidR="00A7599D" w:rsidRPr="00612627">
        <w:rPr>
          <w:rFonts w:ascii="Verdana" w:hAnsi="Verdana"/>
        </w:rPr>
        <w:t>.</w:t>
      </w:r>
    </w:p>
    <w:p w14:paraId="4A7A61A4" w14:textId="77777777" w:rsidR="00D25205" w:rsidRPr="00612627" w:rsidRDefault="00D25205" w:rsidP="00612627">
      <w:pPr>
        <w:spacing w:after="0" w:line="360" w:lineRule="auto"/>
        <w:ind w:left="0" w:right="0" w:firstLine="0"/>
        <w:rPr>
          <w:rFonts w:ascii="Verdana" w:hAnsi="Verdana"/>
        </w:rPr>
      </w:pPr>
    </w:p>
    <w:p w14:paraId="5400AA6B" w14:textId="77777777" w:rsidR="0039461C" w:rsidRPr="00612627" w:rsidRDefault="00095F36" w:rsidP="00411DC7">
      <w:pPr>
        <w:pStyle w:val="ListParagraph"/>
        <w:numPr>
          <w:ilvl w:val="1"/>
          <w:numId w:val="3"/>
        </w:numPr>
        <w:spacing w:after="0" w:line="360" w:lineRule="auto"/>
        <w:ind w:left="709" w:right="0" w:hanging="709"/>
        <w:rPr>
          <w:rFonts w:ascii="Verdana" w:hAnsi="Verdana"/>
          <w:b/>
          <w:bCs/>
        </w:rPr>
      </w:pPr>
      <w:r w:rsidRPr="00612627">
        <w:rPr>
          <w:rFonts w:ascii="Verdana" w:hAnsi="Verdana"/>
        </w:rPr>
        <w:lastRenderedPageBreak/>
        <w:t>To this end,</w:t>
      </w:r>
      <w:r w:rsidR="00712964" w:rsidRPr="00612627">
        <w:rPr>
          <w:rFonts w:ascii="Verdana" w:hAnsi="Verdana"/>
        </w:rPr>
        <w:t xml:space="preserve"> </w:t>
      </w:r>
      <w:r w:rsidR="00CB30EB" w:rsidRPr="00612627">
        <w:rPr>
          <w:rFonts w:ascii="Verdana" w:hAnsi="Verdana"/>
        </w:rPr>
        <w:t xml:space="preserve">Stakeholders </w:t>
      </w:r>
      <w:r w:rsidRPr="00612627">
        <w:rPr>
          <w:rFonts w:ascii="Verdana" w:hAnsi="Verdana"/>
        </w:rPr>
        <w:t xml:space="preserve">are </w:t>
      </w:r>
      <w:r w:rsidR="00CB30EB" w:rsidRPr="00612627">
        <w:rPr>
          <w:rFonts w:ascii="Verdana" w:hAnsi="Verdana"/>
        </w:rPr>
        <w:t xml:space="preserve">encouraged </w:t>
      </w:r>
      <w:r w:rsidR="00D87933" w:rsidRPr="00612627">
        <w:rPr>
          <w:rFonts w:ascii="Verdana" w:hAnsi="Verdana"/>
        </w:rPr>
        <w:t xml:space="preserve">to submit </w:t>
      </w:r>
      <w:r w:rsidR="00CB30EB" w:rsidRPr="00612627">
        <w:rPr>
          <w:rFonts w:ascii="Verdana" w:hAnsi="Verdana"/>
          <w:lang w:val="en-US"/>
        </w:rPr>
        <w:t xml:space="preserve">written representations </w:t>
      </w:r>
      <w:r w:rsidR="00A35ABD">
        <w:rPr>
          <w:rFonts w:ascii="Verdana" w:hAnsi="Verdana"/>
          <w:lang w:val="en-US"/>
        </w:rPr>
        <w:t>i</w:t>
      </w:r>
      <w:r w:rsidR="00CB30EB" w:rsidRPr="00612627">
        <w:rPr>
          <w:rFonts w:ascii="Verdana" w:hAnsi="Verdana"/>
          <w:lang w:val="en-US"/>
        </w:rPr>
        <w:t xml:space="preserve">n a </w:t>
      </w:r>
      <w:r w:rsidR="00CB30EB" w:rsidRPr="00612627">
        <w:rPr>
          <w:rFonts w:ascii="Verdana" w:hAnsi="Verdana"/>
          <w:b/>
          <w:bCs/>
          <w:lang w:val="en-US"/>
        </w:rPr>
        <w:t xml:space="preserve">signed PDF </w:t>
      </w:r>
      <w:r w:rsidR="00A35ABD">
        <w:rPr>
          <w:rFonts w:ascii="Verdana" w:hAnsi="Verdana"/>
          <w:b/>
          <w:bCs/>
          <w:lang w:val="en-US"/>
        </w:rPr>
        <w:t>document</w:t>
      </w:r>
      <w:r w:rsidR="00CB30EB" w:rsidRPr="00612627">
        <w:rPr>
          <w:rFonts w:ascii="Verdana" w:hAnsi="Verdana"/>
          <w:lang w:val="en-US"/>
        </w:rPr>
        <w:t xml:space="preserve">, including an electronic version of the representation in </w:t>
      </w:r>
      <w:r w:rsidR="00CB30EB" w:rsidRPr="00612627">
        <w:rPr>
          <w:rFonts w:ascii="Verdana" w:hAnsi="Verdana"/>
          <w:b/>
          <w:bCs/>
          <w:lang w:val="en-US"/>
        </w:rPr>
        <w:t>Microsoft Word</w:t>
      </w:r>
      <w:r w:rsidR="00CB30EB" w:rsidRPr="00612627">
        <w:rPr>
          <w:rFonts w:ascii="Verdana" w:hAnsi="Verdana"/>
          <w:lang w:val="en-US"/>
        </w:rPr>
        <w:t>, of their views on the Inquiry. Submissions must be made no later than 16h00 on Friday 03 December 2021.</w:t>
      </w:r>
    </w:p>
    <w:p w14:paraId="38969C8B" w14:textId="77777777" w:rsidR="00612627" w:rsidRDefault="00612627" w:rsidP="00B2089F">
      <w:pPr>
        <w:spacing w:after="160" w:line="276" w:lineRule="auto"/>
        <w:ind w:left="0" w:right="0" w:firstLine="0"/>
        <w:rPr>
          <w:rFonts w:ascii="Verdana" w:hAnsi="Verdana"/>
          <w:b/>
          <w:bCs/>
        </w:rPr>
      </w:pPr>
    </w:p>
    <w:p w14:paraId="050059E4" w14:textId="77777777" w:rsidR="008411E1" w:rsidRPr="00612627" w:rsidRDefault="008411E1" w:rsidP="00411DC7">
      <w:pPr>
        <w:pStyle w:val="ListParagraph"/>
        <w:numPr>
          <w:ilvl w:val="0"/>
          <w:numId w:val="3"/>
        </w:numPr>
        <w:spacing w:after="0" w:line="360" w:lineRule="auto"/>
        <w:ind w:left="720" w:right="0" w:hanging="720"/>
        <w:rPr>
          <w:rFonts w:ascii="Verdana" w:hAnsi="Verdana"/>
          <w:b/>
          <w:bCs/>
        </w:rPr>
      </w:pPr>
      <w:r w:rsidRPr="00612627">
        <w:rPr>
          <w:rFonts w:ascii="Verdana" w:hAnsi="Verdana"/>
          <w:b/>
          <w:bCs/>
        </w:rPr>
        <w:t>Purpose</w:t>
      </w:r>
    </w:p>
    <w:p w14:paraId="798527B0" w14:textId="77777777" w:rsidR="005B1A78" w:rsidRPr="00612627" w:rsidRDefault="005B1A78" w:rsidP="00B2089F">
      <w:pPr>
        <w:pStyle w:val="ListParagraph"/>
        <w:spacing w:after="0" w:line="276" w:lineRule="auto"/>
        <w:ind w:left="567" w:right="0" w:firstLine="0"/>
        <w:rPr>
          <w:rFonts w:ascii="Verdana" w:hAnsi="Verdana"/>
          <w:b/>
          <w:bCs/>
        </w:rPr>
      </w:pPr>
    </w:p>
    <w:p w14:paraId="04507D0F" w14:textId="77777777" w:rsidR="00575919" w:rsidRPr="00612627" w:rsidRDefault="00575919" w:rsidP="00411DC7">
      <w:pPr>
        <w:pStyle w:val="ListParagraph"/>
        <w:numPr>
          <w:ilvl w:val="1"/>
          <w:numId w:val="3"/>
        </w:numPr>
        <w:spacing w:after="0" w:line="360" w:lineRule="auto"/>
        <w:ind w:left="709" w:right="0" w:hanging="709"/>
        <w:rPr>
          <w:rFonts w:ascii="Verdana" w:hAnsi="Verdana"/>
        </w:rPr>
      </w:pPr>
      <w:r w:rsidRPr="00612627">
        <w:rPr>
          <w:rFonts w:ascii="Verdana" w:hAnsi="Verdana"/>
        </w:rPr>
        <w:t xml:space="preserve">The purpose of this briefing note is </w:t>
      </w:r>
      <w:r w:rsidR="001139AB" w:rsidRPr="00612627">
        <w:rPr>
          <w:rFonts w:ascii="Verdana" w:hAnsi="Verdana"/>
        </w:rPr>
        <w:t xml:space="preserve">to provide </w:t>
      </w:r>
      <w:r w:rsidRPr="00612627">
        <w:rPr>
          <w:rFonts w:ascii="Verdana" w:hAnsi="Verdana"/>
        </w:rPr>
        <w:t>the Authority</w:t>
      </w:r>
      <w:r w:rsidR="0055678A" w:rsidRPr="00612627">
        <w:rPr>
          <w:rFonts w:ascii="Verdana" w:hAnsi="Verdana"/>
        </w:rPr>
        <w:t>’s</w:t>
      </w:r>
      <w:r w:rsidRPr="00612627">
        <w:rPr>
          <w:rFonts w:ascii="Verdana" w:hAnsi="Verdana"/>
        </w:rPr>
        <w:t xml:space="preserve"> </w:t>
      </w:r>
      <w:r w:rsidR="0055678A" w:rsidRPr="00612627">
        <w:rPr>
          <w:rFonts w:ascii="Verdana" w:hAnsi="Verdana"/>
        </w:rPr>
        <w:t>response</w:t>
      </w:r>
      <w:r w:rsidRPr="00612627">
        <w:rPr>
          <w:rFonts w:ascii="Verdana" w:hAnsi="Verdana"/>
        </w:rPr>
        <w:t xml:space="preserve"> to stakeholders’ questions of clarity</w:t>
      </w:r>
      <w:r w:rsidR="00E000A7" w:rsidRPr="00612627">
        <w:rPr>
          <w:rFonts w:ascii="Verdana" w:hAnsi="Verdana"/>
        </w:rPr>
        <w:t xml:space="preserve"> in relation to the </w:t>
      </w:r>
      <w:r w:rsidR="00311069" w:rsidRPr="00612627">
        <w:rPr>
          <w:rFonts w:ascii="Verdana" w:hAnsi="Verdana"/>
          <w:lang w:val="en-US"/>
        </w:rPr>
        <w:t>Inquiry</w:t>
      </w:r>
      <w:r w:rsidR="00A35ABD">
        <w:rPr>
          <w:rFonts w:ascii="Verdana" w:hAnsi="Verdana"/>
          <w:lang w:val="en-US"/>
        </w:rPr>
        <w:t>.</w:t>
      </w:r>
    </w:p>
    <w:p w14:paraId="1EDA4E24" w14:textId="77777777" w:rsidR="0065567F" w:rsidRPr="00612627" w:rsidRDefault="0065567F" w:rsidP="00612627">
      <w:pPr>
        <w:pStyle w:val="ListParagraph"/>
        <w:spacing w:after="0" w:line="360" w:lineRule="auto"/>
        <w:ind w:left="0" w:right="0" w:firstLine="0"/>
        <w:rPr>
          <w:rFonts w:ascii="Verdana" w:hAnsi="Verdana"/>
          <w:b/>
          <w:bCs/>
        </w:rPr>
      </w:pPr>
    </w:p>
    <w:p w14:paraId="37F47C91" w14:textId="77777777" w:rsidR="0065567F" w:rsidRPr="00411DC7" w:rsidRDefault="00081B3D" w:rsidP="00411DC7">
      <w:pPr>
        <w:pStyle w:val="ListParagraph"/>
        <w:numPr>
          <w:ilvl w:val="0"/>
          <w:numId w:val="3"/>
        </w:numPr>
        <w:spacing w:after="0" w:line="360" w:lineRule="auto"/>
        <w:ind w:left="720" w:right="0" w:hanging="720"/>
        <w:rPr>
          <w:rFonts w:ascii="Verdana" w:hAnsi="Verdana"/>
          <w:b/>
          <w:bCs/>
        </w:rPr>
      </w:pPr>
      <w:r w:rsidRPr="00411DC7">
        <w:rPr>
          <w:rFonts w:ascii="Verdana" w:hAnsi="Verdana"/>
          <w:b/>
          <w:bCs/>
          <w:lang w:val="en-US"/>
        </w:rPr>
        <w:t>E</w:t>
      </w:r>
      <w:r w:rsidR="00311069" w:rsidRPr="00411DC7">
        <w:rPr>
          <w:rFonts w:ascii="Verdana" w:hAnsi="Verdana"/>
          <w:b/>
          <w:bCs/>
          <w:lang w:val="en-US"/>
        </w:rPr>
        <w:t>nquir</w:t>
      </w:r>
      <w:r w:rsidRPr="00411DC7">
        <w:rPr>
          <w:rFonts w:ascii="Verdana" w:hAnsi="Verdana"/>
          <w:b/>
          <w:bCs/>
          <w:lang w:val="en-US"/>
        </w:rPr>
        <w:t>ies</w:t>
      </w:r>
    </w:p>
    <w:p w14:paraId="395B9713" w14:textId="77777777" w:rsidR="00E6071A" w:rsidRPr="00612627" w:rsidRDefault="00E6071A" w:rsidP="00612627">
      <w:pPr>
        <w:pStyle w:val="ListParagraph"/>
        <w:spacing w:after="0" w:line="360" w:lineRule="auto"/>
        <w:ind w:left="567" w:right="0" w:firstLine="0"/>
        <w:rPr>
          <w:rFonts w:ascii="Verdana" w:hAnsi="Verdana"/>
        </w:rPr>
      </w:pPr>
    </w:p>
    <w:p w14:paraId="09BF89EC" w14:textId="77777777" w:rsidR="005C3EB2" w:rsidRPr="00612627" w:rsidRDefault="005C3EB2" w:rsidP="00612627">
      <w:pPr>
        <w:pStyle w:val="ListParagraph"/>
        <w:numPr>
          <w:ilvl w:val="1"/>
          <w:numId w:val="3"/>
        </w:numPr>
        <w:spacing w:after="0" w:line="360" w:lineRule="auto"/>
        <w:rPr>
          <w:rFonts w:ascii="Verdana" w:hAnsi="Verdana"/>
          <w:b/>
          <w:bCs/>
        </w:rPr>
      </w:pPr>
      <w:r w:rsidRPr="00612627">
        <w:rPr>
          <w:rFonts w:ascii="Verdana" w:hAnsi="Verdana"/>
          <w:b/>
          <w:bCs/>
        </w:rPr>
        <w:t>Question 1</w:t>
      </w:r>
    </w:p>
    <w:p w14:paraId="141AEA4B" w14:textId="77777777" w:rsidR="005C3EB2" w:rsidRPr="00612627" w:rsidRDefault="005C3EB2" w:rsidP="00411DC7">
      <w:pPr>
        <w:pStyle w:val="ListParagraph"/>
        <w:spacing w:line="360" w:lineRule="auto"/>
        <w:ind w:firstLine="0"/>
        <w:rPr>
          <w:rFonts w:ascii="Verdana" w:hAnsi="Verdana"/>
          <w:b/>
          <w:bCs/>
        </w:rPr>
      </w:pPr>
      <w:r w:rsidRPr="00612627">
        <w:rPr>
          <w:rFonts w:ascii="Verdana" w:hAnsi="Verdana"/>
          <w:b/>
          <w:bCs/>
        </w:rPr>
        <w:t>Inquiry Section: Introduction</w:t>
      </w:r>
    </w:p>
    <w:p w14:paraId="679B04A1" w14:textId="77777777" w:rsidR="00BE054B" w:rsidRPr="00612627" w:rsidRDefault="00BE054B" w:rsidP="00612627">
      <w:pPr>
        <w:pStyle w:val="ListParagraph"/>
        <w:spacing w:after="0" w:line="360" w:lineRule="auto"/>
        <w:ind w:left="432" w:firstLine="0"/>
        <w:rPr>
          <w:rFonts w:ascii="Verdana" w:hAnsi="Verdana"/>
          <w:b/>
          <w:bCs/>
        </w:rPr>
      </w:pPr>
    </w:p>
    <w:p w14:paraId="410D75F8" w14:textId="77777777" w:rsidR="005C3EB2" w:rsidRPr="00612627" w:rsidRDefault="00D1539C" w:rsidP="00411DC7">
      <w:pPr>
        <w:pStyle w:val="ListParagraph"/>
        <w:spacing w:after="0" w:line="360" w:lineRule="auto"/>
        <w:ind w:left="709" w:right="0" w:firstLine="0"/>
        <w:rPr>
          <w:rFonts w:ascii="Verdana" w:hAnsi="Verdana"/>
        </w:rPr>
      </w:pPr>
      <w:r w:rsidRPr="00612627">
        <w:rPr>
          <w:rFonts w:ascii="Verdana" w:hAnsi="Verdana"/>
        </w:rPr>
        <w:t>The Authority</w:t>
      </w:r>
      <w:r w:rsidR="005C3EB2" w:rsidRPr="00612627">
        <w:rPr>
          <w:rFonts w:ascii="Verdana" w:hAnsi="Verdana"/>
        </w:rPr>
        <w:t xml:space="preserve"> states the need </w:t>
      </w:r>
      <w:r w:rsidRPr="00612627">
        <w:rPr>
          <w:rFonts w:ascii="Verdana" w:hAnsi="Verdana"/>
        </w:rPr>
        <w:t>to “</w:t>
      </w:r>
      <w:r w:rsidR="005C3EB2" w:rsidRPr="00612627">
        <w:rPr>
          <w:rFonts w:ascii="Verdana" w:hAnsi="Verdana"/>
        </w:rPr>
        <w:t xml:space="preserve">ensure that sufficient radio frequency spectrum is available for broadband and other services in the short term”. To ensure the proper context of the </w:t>
      </w:r>
      <w:r w:rsidR="00A35ABD">
        <w:rPr>
          <w:rFonts w:ascii="Verdana" w:hAnsi="Verdana"/>
        </w:rPr>
        <w:t>I</w:t>
      </w:r>
      <w:r w:rsidR="005C3EB2" w:rsidRPr="00612627">
        <w:rPr>
          <w:rFonts w:ascii="Verdana" w:hAnsi="Verdana"/>
        </w:rPr>
        <w:t xml:space="preserve">nquiry, SENTECH seeks clarity from the Authority regarding what is specifically, quantitatively, meant by “sufficient </w:t>
      </w:r>
      <w:r w:rsidRPr="00612627">
        <w:rPr>
          <w:rFonts w:ascii="Verdana" w:hAnsi="Verdana"/>
        </w:rPr>
        <w:t>spectrum “</w:t>
      </w:r>
      <w:r w:rsidR="005C3EB2" w:rsidRPr="00612627">
        <w:rPr>
          <w:rFonts w:ascii="Verdana" w:hAnsi="Verdana"/>
        </w:rPr>
        <w:t>?  Additionally, is the Inquiry on IMT covering both satellite and terrestrial or limited to terrestrial?</w:t>
      </w:r>
    </w:p>
    <w:p w14:paraId="3C7390FF" w14:textId="77777777" w:rsidR="005C3EB2" w:rsidRPr="00612627" w:rsidRDefault="005C3EB2" w:rsidP="00612627">
      <w:pPr>
        <w:pStyle w:val="ListParagraph"/>
        <w:spacing w:after="0" w:line="360" w:lineRule="auto"/>
        <w:ind w:left="432" w:firstLine="0"/>
        <w:rPr>
          <w:rFonts w:ascii="Verdana" w:hAnsi="Verdana"/>
          <w:b/>
          <w:bCs/>
        </w:rPr>
      </w:pPr>
    </w:p>
    <w:p w14:paraId="388E61AD" w14:textId="77777777" w:rsidR="003F3057" w:rsidRPr="00612627" w:rsidRDefault="003F3057" w:rsidP="00411DC7">
      <w:pPr>
        <w:pStyle w:val="ListParagraph"/>
        <w:spacing w:line="360" w:lineRule="auto"/>
        <w:ind w:firstLine="0"/>
        <w:rPr>
          <w:rFonts w:ascii="Verdana" w:hAnsi="Verdana"/>
          <w:b/>
          <w:bCs/>
        </w:rPr>
      </w:pPr>
      <w:r w:rsidRPr="00612627">
        <w:rPr>
          <w:rFonts w:ascii="Verdana" w:hAnsi="Verdana"/>
          <w:b/>
          <w:bCs/>
        </w:rPr>
        <w:t>Authority’s response:</w:t>
      </w:r>
    </w:p>
    <w:p w14:paraId="0D361F59" w14:textId="77777777" w:rsidR="00ED0EB3" w:rsidRPr="00ED0EB3" w:rsidRDefault="00ED0EB3" w:rsidP="00ED0EB3">
      <w:pPr>
        <w:pStyle w:val="ListParagraph"/>
        <w:rPr>
          <w:rFonts w:ascii="Verdana" w:hAnsi="Verdana"/>
        </w:rPr>
      </w:pPr>
      <w:r w:rsidRPr="00ED0EB3">
        <w:rPr>
          <w:rFonts w:ascii="Verdana" w:hAnsi="Verdana"/>
        </w:rPr>
        <w:t xml:space="preserve">The Inquiry covers all radiocommunications services, as well as both the terrestrial and satellite component of International Mobile Telecommunications. </w:t>
      </w:r>
    </w:p>
    <w:p w14:paraId="230ADABD" w14:textId="77777777" w:rsidR="00ED0EB3" w:rsidRDefault="00ED0EB3" w:rsidP="00411DC7">
      <w:pPr>
        <w:pStyle w:val="ListParagraph"/>
        <w:spacing w:after="0" w:line="360" w:lineRule="auto"/>
        <w:ind w:left="709" w:right="0" w:firstLine="0"/>
        <w:rPr>
          <w:rFonts w:ascii="Verdana" w:hAnsi="Verdana"/>
        </w:rPr>
      </w:pPr>
    </w:p>
    <w:p w14:paraId="4945F7EC" w14:textId="52EA2403" w:rsidR="00A35ABD" w:rsidRDefault="00B74F0A" w:rsidP="00411DC7">
      <w:pPr>
        <w:pStyle w:val="ListParagraph"/>
        <w:spacing w:after="0" w:line="360" w:lineRule="auto"/>
        <w:ind w:left="709" w:right="0" w:firstLine="0"/>
        <w:rPr>
          <w:rFonts w:ascii="Verdana" w:hAnsi="Verdana"/>
        </w:rPr>
      </w:pPr>
      <w:r>
        <w:rPr>
          <w:rFonts w:ascii="Verdana" w:hAnsi="Verdana"/>
        </w:rPr>
        <w:t>Suffi</w:t>
      </w:r>
      <w:r w:rsidR="007E48A8">
        <w:rPr>
          <w:rFonts w:ascii="Verdana" w:hAnsi="Verdana"/>
        </w:rPr>
        <w:t>cient Spectrum</w:t>
      </w:r>
      <w:r w:rsidR="002A5229">
        <w:rPr>
          <w:rFonts w:ascii="Verdana" w:hAnsi="Verdana"/>
        </w:rPr>
        <w:t xml:space="preserve"> means th</w:t>
      </w:r>
      <w:r w:rsidR="00EB22FA">
        <w:rPr>
          <w:rFonts w:ascii="Verdana" w:hAnsi="Verdana"/>
        </w:rPr>
        <w:t xml:space="preserve">e amount of </w:t>
      </w:r>
      <w:r w:rsidR="002E114B" w:rsidRPr="00612627">
        <w:rPr>
          <w:rFonts w:ascii="Verdana" w:hAnsi="Verdana"/>
        </w:rPr>
        <w:t xml:space="preserve">Spectrum </w:t>
      </w:r>
      <w:r w:rsidR="00EB22FA">
        <w:rPr>
          <w:rFonts w:ascii="Verdana" w:hAnsi="Verdana"/>
        </w:rPr>
        <w:t xml:space="preserve">available </w:t>
      </w:r>
      <w:r w:rsidR="002E114B" w:rsidRPr="00612627">
        <w:rPr>
          <w:rFonts w:ascii="Verdana" w:hAnsi="Verdana"/>
        </w:rPr>
        <w:t xml:space="preserve">to meet the demand </w:t>
      </w:r>
      <w:r w:rsidR="005E26D2" w:rsidRPr="00612627">
        <w:rPr>
          <w:rFonts w:ascii="Verdana" w:hAnsi="Verdana"/>
        </w:rPr>
        <w:t xml:space="preserve">that fully facilitates investment and access to broadband for sustainable economic development, assisting </w:t>
      </w:r>
      <w:r w:rsidR="00263745" w:rsidRPr="00612627">
        <w:rPr>
          <w:rFonts w:ascii="Verdana" w:hAnsi="Verdana"/>
        </w:rPr>
        <w:t>in bridging</w:t>
      </w:r>
      <w:r w:rsidR="0013185C" w:rsidRPr="00612627">
        <w:rPr>
          <w:rFonts w:ascii="Verdana" w:hAnsi="Verdana"/>
        </w:rPr>
        <w:t xml:space="preserve"> the</w:t>
      </w:r>
      <w:r w:rsidR="00263745" w:rsidRPr="00612627">
        <w:rPr>
          <w:rFonts w:ascii="Verdana" w:hAnsi="Verdana"/>
        </w:rPr>
        <w:t xml:space="preserve"> digital divide.</w:t>
      </w:r>
      <w:r w:rsidR="002E114B" w:rsidRPr="00612627">
        <w:rPr>
          <w:rFonts w:ascii="Verdana" w:hAnsi="Verdana"/>
        </w:rPr>
        <w:t xml:space="preserve"> </w:t>
      </w:r>
    </w:p>
    <w:p w14:paraId="1DA7713B" w14:textId="77777777" w:rsidR="00DC35C4" w:rsidRPr="00612627" w:rsidRDefault="00DC35C4" w:rsidP="00612627">
      <w:pPr>
        <w:pStyle w:val="ListParagraph"/>
        <w:spacing w:after="0" w:line="360" w:lineRule="auto"/>
        <w:ind w:left="432" w:firstLine="0"/>
        <w:rPr>
          <w:rFonts w:ascii="Verdana" w:hAnsi="Verdana"/>
          <w:b/>
          <w:bCs/>
        </w:rPr>
      </w:pPr>
    </w:p>
    <w:p w14:paraId="3BAF9E34" w14:textId="77777777" w:rsidR="00CF0B14" w:rsidRPr="00612627" w:rsidRDefault="00CF0B14" w:rsidP="00612627">
      <w:pPr>
        <w:pStyle w:val="ListParagraph"/>
        <w:numPr>
          <w:ilvl w:val="1"/>
          <w:numId w:val="3"/>
        </w:numPr>
        <w:spacing w:after="0" w:line="360" w:lineRule="auto"/>
        <w:rPr>
          <w:rFonts w:ascii="Verdana" w:hAnsi="Verdana"/>
          <w:b/>
          <w:bCs/>
        </w:rPr>
      </w:pPr>
      <w:bookmarkStart w:id="0" w:name="_Hlk86075314"/>
      <w:r w:rsidRPr="00612627">
        <w:rPr>
          <w:rFonts w:ascii="Verdana" w:hAnsi="Verdana"/>
          <w:b/>
          <w:bCs/>
        </w:rPr>
        <w:t xml:space="preserve">Question </w:t>
      </w:r>
      <w:bookmarkEnd w:id="0"/>
      <w:r w:rsidR="00221CC4" w:rsidRPr="00612627">
        <w:rPr>
          <w:rFonts w:ascii="Verdana" w:hAnsi="Verdana"/>
          <w:b/>
          <w:bCs/>
        </w:rPr>
        <w:t>2</w:t>
      </w:r>
    </w:p>
    <w:p w14:paraId="5B550C74" w14:textId="77777777" w:rsidR="00221CC4" w:rsidRPr="00612627" w:rsidRDefault="00221CC4" w:rsidP="00612627">
      <w:pPr>
        <w:pStyle w:val="ListParagraph"/>
        <w:spacing w:after="0" w:line="360" w:lineRule="auto"/>
        <w:ind w:left="432" w:firstLine="0"/>
        <w:rPr>
          <w:rFonts w:ascii="Verdana" w:hAnsi="Verdana"/>
          <w:b/>
          <w:bCs/>
        </w:rPr>
      </w:pPr>
    </w:p>
    <w:p w14:paraId="68CB96A1" w14:textId="77777777" w:rsidR="00CF0B14" w:rsidRPr="00612627" w:rsidRDefault="00CF0B14" w:rsidP="00411DC7">
      <w:pPr>
        <w:pStyle w:val="ListParagraph"/>
        <w:spacing w:after="0" w:line="360" w:lineRule="auto"/>
        <w:ind w:left="709" w:right="0" w:firstLine="0"/>
        <w:rPr>
          <w:rFonts w:ascii="Verdana" w:hAnsi="Verdana"/>
        </w:rPr>
      </w:pPr>
      <w:r w:rsidRPr="00612627">
        <w:rPr>
          <w:rFonts w:ascii="Verdana" w:hAnsi="Verdana"/>
        </w:rPr>
        <w:t>SENTECH is struggling to comprehend the intention and purpose of the Inquiry. The sentence below, from the Inquiry, is too long and difficult to understand.</w:t>
      </w:r>
    </w:p>
    <w:p w14:paraId="655E8C2E" w14:textId="77777777" w:rsidR="00CF0B14" w:rsidRPr="00612627" w:rsidRDefault="00CF0B14" w:rsidP="00910FF7">
      <w:pPr>
        <w:pStyle w:val="ListParagraph"/>
        <w:spacing w:after="0" w:line="360" w:lineRule="auto"/>
        <w:ind w:left="1440" w:right="0" w:firstLine="0"/>
        <w:rPr>
          <w:rFonts w:ascii="Verdana" w:hAnsi="Verdana"/>
        </w:rPr>
      </w:pPr>
      <w:r w:rsidRPr="00612627">
        <w:rPr>
          <w:rFonts w:ascii="Verdana" w:hAnsi="Verdana"/>
          <w:i/>
          <w:iCs/>
        </w:rPr>
        <w:t xml:space="preserve">The purpose of this Inquiry is to determine the current use and usage of the frequency bands as mandated by the Radio Frequency Migration </w:t>
      </w:r>
      <w:r w:rsidRPr="00612627">
        <w:rPr>
          <w:rFonts w:ascii="Verdana" w:hAnsi="Verdana"/>
          <w:i/>
          <w:iCs/>
        </w:rPr>
        <w:lastRenderedPageBreak/>
        <w:t>Regulations 2013 in order to develop an implementation plan regarding the Radio Frequency Migration Plans, IMT Roadmap and the frequencies identified for migration during the development of the National Radio Frequency Plan of 2018, as well as the implementation plan thereof, through the development and amendment of new and existing the Radio Frequency Assignment Plans to achieve global harmonisation of Standards and Systems</w:t>
      </w:r>
      <w:r w:rsidRPr="00612627">
        <w:rPr>
          <w:rFonts w:ascii="Verdana" w:hAnsi="Verdana"/>
        </w:rPr>
        <w:t>.</w:t>
      </w:r>
    </w:p>
    <w:p w14:paraId="7734BDEA" w14:textId="77777777" w:rsidR="00CF0B14" w:rsidRPr="00612627" w:rsidRDefault="00CF0B14" w:rsidP="00612627">
      <w:pPr>
        <w:autoSpaceDE w:val="0"/>
        <w:autoSpaceDN w:val="0"/>
        <w:adjustRightInd w:val="0"/>
        <w:spacing w:line="360" w:lineRule="auto"/>
        <w:ind w:left="490"/>
        <w:rPr>
          <w:rFonts w:ascii="Verdana" w:hAnsi="Verdana"/>
        </w:rPr>
      </w:pPr>
    </w:p>
    <w:p w14:paraId="3D66A7DA" w14:textId="77777777" w:rsidR="00CF0B14" w:rsidRPr="00612627" w:rsidRDefault="00CF0B14" w:rsidP="00411DC7">
      <w:pPr>
        <w:pStyle w:val="ListParagraph"/>
        <w:spacing w:line="360" w:lineRule="auto"/>
        <w:ind w:firstLine="0"/>
        <w:rPr>
          <w:rFonts w:ascii="Verdana" w:hAnsi="Verdana"/>
        </w:rPr>
      </w:pPr>
      <w:bookmarkStart w:id="1" w:name="_Hlk86075384"/>
      <w:r w:rsidRPr="00612627">
        <w:rPr>
          <w:rFonts w:ascii="Verdana" w:hAnsi="Verdana"/>
          <w:b/>
          <w:bCs/>
        </w:rPr>
        <w:t>Authority’s response:</w:t>
      </w:r>
    </w:p>
    <w:bookmarkEnd w:id="1"/>
    <w:p w14:paraId="26423B20" w14:textId="77777777" w:rsidR="00DC35C4" w:rsidRPr="00612627" w:rsidRDefault="00DC35C4" w:rsidP="00411DC7">
      <w:pPr>
        <w:pStyle w:val="ListParagraph"/>
        <w:spacing w:after="0" w:line="360" w:lineRule="auto"/>
        <w:ind w:left="709" w:right="0" w:firstLine="0"/>
        <w:rPr>
          <w:rFonts w:ascii="Verdana" w:hAnsi="Verdana"/>
        </w:rPr>
      </w:pPr>
      <w:r w:rsidRPr="00612627">
        <w:rPr>
          <w:rFonts w:ascii="Verdana" w:hAnsi="Verdana"/>
        </w:rPr>
        <w:t xml:space="preserve">Within the 2013 migration regulations, which in turn draw from the ECA, there is a mandate to change the uses of radio frequency </w:t>
      </w:r>
      <w:r w:rsidR="006F6D92" w:rsidRPr="00612627">
        <w:rPr>
          <w:rFonts w:ascii="Verdana" w:hAnsi="Verdana"/>
        </w:rPr>
        <w:t>bands in</w:t>
      </w:r>
      <w:r w:rsidR="00C36CBD" w:rsidRPr="00612627">
        <w:rPr>
          <w:rFonts w:ascii="Verdana" w:hAnsi="Verdana"/>
        </w:rPr>
        <w:t xml:space="preserve"> line with the National Radio Frequency Plan</w:t>
      </w:r>
      <w:r w:rsidR="00A35ABD">
        <w:rPr>
          <w:rFonts w:ascii="Verdana" w:hAnsi="Verdana"/>
        </w:rPr>
        <w:t xml:space="preserve">, </w:t>
      </w:r>
      <w:proofErr w:type="gramStart"/>
      <w:r w:rsidR="00A35ABD">
        <w:rPr>
          <w:rFonts w:ascii="Verdana" w:hAnsi="Verdana"/>
        </w:rPr>
        <w:t>in order</w:t>
      </w:r>
      <w:r w:rsidR="00C36CBD" w:rsidRPr="00612627">
        <w:rPr>
          <w:rFonts w:ascii="Verdana" w:hAnsi="Verdana"/>
        </w:rPr>
        <w:t xml:space="preserve"> </w:t>
      </w:r>
      <w:r w:rsidR="00263745" w:rsidRPr="00612627">
        <w:rPr>
          <w:rFonts w:ascii="Verdana" w:hAnsi="Verdana"/>
        </w:rPr>
        <w:t>to</w:t>
      </w:r>
      <w:proofErr w:type="gramEnd"/>
      <w:r w:rsidR="00263745" w:rsidRPr="00612627">
        <w:rPr>
          <w:rFonts w:ascii="Verdana" w:hAnsi="Verdana"/>
        </w:rPr>
        <w:t xml:space="preserve"> ensure harmonisation </w:t>
      </w:r>
      <w:r w:rsidR="00C36CBD" w:rsidRPr="00612627">
        <w:rPr>
          <w:rFonts w:ascii="Verdana" w:hAnsi="Verdana"/>
        </w:rPr>
        <w:t>in the region. Section 4 of the 2013 regulations outlines the principles to be followed for the migration process</w:t>
      </w:r>
      <w:r w:rsidRPr="00612627">
        <w:rPr>
          <w:rFonts w:ascii="Verdana" w:hAnsi="Verdana"/>
        </w:rPr>
        <w:t xml:space="preserve">. The </w:t>
      </w:r>
      <w:r w:rsidR="00A35ABD">
        <w:rPr>
          <w:rFonts w:ascii="Verdana" w:hAnsi="Verdana"/>
        </w:rPr>
        <w:t>I</w:t>
      </w:r>
      <w:r w:rsidRPr="00612627">
        <w:rPr>
          <w:rFonts w:ascii="Verdana" w:hAnsi="Verdana"/>
        </w:rPr>
        <w:t>nquiry is</w:t>
      </w:r>
      <w:r w:rsidR="00A35ABD">
        <w:rPr>
          <w:rFonts w:ascii="Verdana" w:hAnsi="Verdana"/>
        </w:rPr>
        <w:t>,</w:t>
      </w:r>
      <w:r w:rsidRPr="00612627">
        <w:rPr>
          <w:rFonts w:ascii="Verdana" w:hAnsi="Verdana"/>
        </w:rPr>
        <w:t xml:space="preserve"> therefore</w:t>
      </w:r>
      <w:r w:rsidR="00A35ABD">
        <w:rPr>
          <w:rFonts w:ascii="Verdana" w:hAnsi="Verdana"/>
        </w:rPr>
        <w:t>,</w:t>
      </w:r>
      <w:r w:rsidR="00C36CBD" w:rsidRPr="00612627">
        <w:rPr>
          <w:rFonts w:ascii="Verdana" w:hAnsi="Verdana"/>
        </w:rPr>
        <w:t xml:space="preserve"> part of the </w:t>
      </w:r>
      <w:r w:rsidR="00A35ABD">
        <w:rPr>
          <w:rFonts w:ascii="Verdana" w:hAnsi="Verdana"/>
        </w:rPr>
        <w:t xml:space="preserve">necessary series of </w:t>
      </w:r>
      <w:r w:rsidR="00C36CBD" w:rsidRPr="00612627">
        <w:rPr>
          <w:rFonts w:ascii="Verdana" w:hAnsi="Verdana"/>
        </w:rPr>
        <w:t xml:space="preserve">steps in determining </w:t>
      </w:r>
      <w:r w:rsidR="00F413E5" w:rsidRPr="00612627">
        <w:rPr>
          <w:rFonts w:ascii="Verdana" w:hAnsi="Verdana"/>
        </w:rPr>
        <w:t>the use and usage of radio frequency spectrum bands before implementing the migration plans.</w:t>
      </w:r>
      <w:r w:rsidR="000A2DEF" w:rsidRPr="00612627">
        <w:rPr>
          <w:rFonts w:ascii="Verdana" w:hAnsi="Verdana"/>
        </w:rPr>
        <w:t xml:space="preserve"> The implementation of the </w:t>
      </w:r>
      <w:r w:rsidR="009458C8" w:rsidRPr="00612627">
        <w:rPr>
          <w:rFonts w:ascii="Verdana" w:hAnsi="Verdana"/>
        </w:rPr>
        <w:t>Radio Frequency Migration Plan</w:t>
      </w:r>
      <w:r w:rsidR="00A35ABD">
        <w:rPr>
          <w:rFonts w:ascii="Verdana" w:hAnsi="Verdana"/>
        </w:rPr>
        <w:t xml:space="preserve"> will be</w:t>
      </w:r>
      <w:r w:rsidR="00833886">
        <w:rPr>
          <w:rFonts w:ascii="Verdana" w:hAnsi="Verdana"/>
        </w:rPr>
        <w:t xml:space="preserve"> </w:t>
      </w:r>
      <w:r w:rsidR="009458C8" w:rsidRPr="00612627">
        <w:rPr>
          <w:rFonts w:ascii="Verdana" w:hAnsi="Verdana"/>
        </w:rPr>
        <w:t xml:space="preserve">through the development of the Radio Frequency Spectrum Assignment Plan </w:t>
      </w:r>
      <w:r w:rsidR="00B55202" w:rsidRPr="00612627">
        <w:rPr>
          <w:rFonts w:ascii="Verdana" w:hAnsi="Verdana"/>
        </w:rPr>
        <w:t xml:space="preserve">in accordance </w:t>
      </w:r>
      <w:r w:rsidR="00561A1D" w:rsidRPr="00612627">
        <w:rPr>
          <w:rFonts w:ascii="Verdana" w:hAnsi="Verdana"/>
        </w:rPr>
        <w:t>with Regulation</w:t>
      </w:r>
      <w:r w:rsidR="00B55202" w:rsidRPr="00612627">
        <w:rPr>
          <w:rFonts w:ascii="Verdana" w:hAnsi="Verdana"/>
        </w:rPr>
        <w:t xml:space="preserve"> 5</w:t>
      </w:r>
      <w:r w:rsidR="007C5A48" w:rsidRPr="00612627">
        <w:rPr>
          <w:rStyle w:val="FootnoteReference"/>
          <w:rFonts w:ascii="Verdana" w:hAnsi="Verdana"/>
        </w:rPr>
        <w:footnoteReference w:id="2"/>
      </w:r>
      <w:r w:rsidRPr="00612627">
        <w:rPr>
          <w:rFonts w:ascii="Verdana" w:hAnsi="Verdana"/>
        </w:rPr>
        <w:t xml:space="preserve"> </w:t>
      </w:r>
      <w:r w:rsidR="00833886">
        <w:rPr>
          <w:rFonts w:ascii="Verdana" w:hAnsi="Verdana"/>
        </w:rPr>
        <w:t>.</w:t>
      </w:r>
    </w:p>
    <w:p w14:paraId="55E307CD" w14:textId="77777777" w:rsidR="00CF0B14" w:rsidRPr="00612627" w:rsidRDefault="00CF0B14" w:rsidP="00612627">
      <w:pPr>
        <w:pStyle w:val="ListParagraph"/>
        <w:spacing w:after="0" w:line="360" w:lineRule="auto"/>
        <w:ind w:firstLine="0"/>
        <w:rPr>
          <w:rFonts w:ascii="Verdana" w:hAnsi="Verdana"/>
          <w:b/>
          <w:bCs/>
        </w:rPr>
      </w:pPr>
    </w:p>
    <w:p w14:paraId="01AF20C3" w14:textId="77777777" w:rsidR="0036477A" w:rsidRPr="00612627" w:rsidRDefault="0036477A" w:rsidP="00411DC7">
      <w:pPr>
        <w:pStyle w:val="ListParagraph"/>
        <w:numPr>
          <w:ilvl w:val="1"/>
          <w:numId w:val="3"/>
        </w:numPr>
        <w:spacing w:after="0" w:line="360" w:lineRule="auto"/>
        <w:rPr>
          <w:rFonts w:ascii="Verdana" w:hAnsi="Verdana"/>
          <w:b/>
          <w:bCs/>
        </w:rPr>
      </w:pPr>
      <w:bookmarkStart w:id="2" w:name="_Hlk86074430"/>
      <w:r w:rsidRPr="00612627">
        <w:rPr>
          <w:rFonts w:ascii="Verdana" w:hAnsi="Verdana"/>
          <w:b/>
          <w:bCs/>
        </w:rPr>
        <w:t xml:space="preserve">Question </w:t>
      </w:r>
      <w:r w:rsidR="00221CC4" w:rsidRPr="00612627">
        <w:rPr>
          <w:rFonts w:ascii="Verdana" w:hAnsi="Verdana"/>
          <w:b/>
          <w:bCs/>
        </w:rPr>
        <w:t>3</w:t>
      </w:r>
    </w:p>
    <w:bookmarkEnd w:id="2"/>
    <w:p w14:paraId="368891C9" w14:textId="77777777" w:rsidR="0036477A" w:rsidRPr="00612627" w:rsidRDefault="00833886" w:rsidP="00411DC7">
      <w:pPr>
        <w:pStyle w:val="ListParagraph"/>
        <w:spacing w:after="0" w:line="360" w:lineRule="auto"/>
        <w:ind w:left="709" w:right="0" w:firstLine="0"/>
        <w:rPr>
          <w:rFonts w:ascii="Verdana" w:hAnsi="Verdana"/>
        </w:rPr>
      </w:pPr>
      <w:r>
        <w:rPr>
          <w:rFonts w:ascii="Verdana" w:hAnsi="Verdana"/>
        </w:rPr>
        <w:t>O</w:t>
      </w:r>
      <w:r w:rsidR="0036477A" w:rsidRPr="00612627">
        <w:rPr>
          <w:rFonts w:ascii="Verdana" w:hAnsi="Verdana"/>
        </w:rPr>
        <w:t xml:space="preserve">n the cover page, the Authority refers to the 2013 Radio Frequency Migration Plan. The latest migration plan was published in 2019 (Government Gazette 42337, Notice 66 of 2019 dated 29 March 2019). Telkom requests clarification as to the relevance of the 2013 </w:t>
      </w:r>
      <w:r>
        <w:rPr>
          <w:rFonts w:ascii="Verdana" w:hAnsi="Verdana"/>
        </w:rPr>
        <w:t>M</w:t>
      </w:r>
      <w:r w:rsidR="0036477A" w:rsidRPr="00612627">
        <w:rPr>
          <w:rFonts w:ascii="Verdana" w:hAnsi="Verdana"/>
        </w:rPr>
        <w:t xml:space="preserve">igration </w:t>
      </w:r>
      <w:r>
        <w:rPr>
          <w:rFonts w:ascii="Verdana" w:hAnsi="Verdana"/>
        </w:rPr>
        <w:t>P</w:t>
      </w:r>
      <w:r w:rsidR="0036477A" w:rsidRPr="00612627">
        <w:rPr>
          <w:rFonts w:ascii="Verdana" w:hAnsi="Verdana"/>
        </w:rPr>
        <w:t xml:space="preserve">lan versus the 2019 </w:t>
      </w:r>
      <w:r>
        <w:rPr>
          <w:rFonts w:ascii="Verdana" w:hAnsi="Verdana"/>
        </w:rPr>
        <w:t>M</w:t>
      </w:r>
      <w:r w:rsidR="0036477A" w:rsidRPr="00612627">
        <w:rPr>
          <w:rFonts w:ascii="Verdana" w:hAnsi="Verdana"/>
        </w:rPr>
        <w:t xml:space="preserve">igration </w:t>
      </w:r>
      <w:r>
        <w:rPr>
          <w:rFonts w:ascii="Verdana" w:hAnsi="Verdana"/>
        </w:rPr>
        <w:t>P</w:t>
      </w:r>
      <w:r w:rsidR="0036477A" w:rsidRPr="00612627">
        <w:rPr>
          <w:rFonts w:ascii="Verdana" w:hAnsi="Verdana"/>
        </w:rPr>
        <w:t>lan in the Implementation Plan.</w:t>
      </w:r>
    </w:p>
    <w:p w14:paraId="304DA7A9" w14:textId="77777777" w:rsidR="00A74F04" w:rsidRPr="00612627" w:rsidRDefault="00A74F04" w:rsidP="00612627">
      <w:pPr>
        <w:pStyle w:val="ListParagraph"/>
        <w:spacing w:after="0" w:line="360" w:lineRule="auto"/>
        <w:ind w:left="567" w:firstLine="0"/>
        <w:rPr>
          <w:rFonts w:ascii="Verdana" w:hAnsi="Verdana"/>
        </w:rPr>
      </w:pPr>
    </w:p>
    <w:p w14:paraId="2E25CE7F" w14:textId="77777777" w:rsidR="00A74F04" w:rsidRPr="00612627" w:rsidRDefault="00A74F04" w:rsidP="00411DC7">
      <w:pPr>
        <w:pStyle w:val="ListParagraph"/>
        <w:spacing w:line="360" w:lineRule="auto"/>
        <w:ind w:firstLine="0"/>
        <w:rPr>
          <w:rFonts w:ascii="Verdana" w:hAnsi="Verdana"/>
          <w:b/>
          <w:bCs/>
        </w:rPr>
      </w:pPr>
      <w:bookmarkStart w:id="3" w:name="_Hlk86074672"/>
      <w:bookmarkStart w:id="4" w:name="_Hlk86074489"/>
      <w:r w:rsidRPr="00612627">
        <w:rPr>
          <w:rFonts w:ascii="Verdana" w:hAnsi="Verdana"/>
          <w:b/>
          <w:bCs/>
        </w:rPr>
        <w:t>Authority’s response:</w:t>
      </w:r>
    </w:p>
    <w:bookmarkEnd w:id="3"/>
    <w:p w14:paraId="7B6F9847" w14:textId="77777777" w:rsidR="00DC35C4" w:rsidRPr="00612627" w:rsidRDefault="00DC35C4" w:rsidP="00411DC7">
      <w:pPr>
        <w:pStyle w:val="ListParagraph"/>
        <w:spacing w:after="0" w:line="360" w:lineRule="auto"/>
        <w:ind w:left="709" w:right="0" w:firstLine="0"/>
        <w:rPr>
          <w:rFonts w:ascii="Verdana" w:hAnsi="Verdana"/>
        </w:rPr>
      </w:pPr>
      <w:r w:rsidRPr="00612627">
        <w:rPr>
          <w:rFonts w:ascii="Verdana" w:hAnsi="Verdana"/>
        </w:rPr>
        <w:t xml:space="preserve">The </w:t>
      </w:r>
      <w:r w:rsidR="00F413E5" w:rsidRPr="00612627">
        <w:rPr>
          <w:rFonts w:ascii="Verdana" w:hAnsi="Verdana"/>
        </w:rPr>
        <w:t>I</w:t>
      </w:r>
      <w:r w:rsidRPr="00612627">
        <w:rPr>
          <w:rFonts w:ascii="Verdana" w:hAnsi="Verdana"/>
        </w:rPr>
        <w:t xml:space="preserve">nquiry refers to </w:t>
      </w:r>
      <w:r w:rsidR="00F413E5" w:rsidRPr="00612627">
        <w:rPr>
          <w:rFonts w:ascii="Verdana" w:hAnsi="Verdana"/>
        </w:rPr>
        <w:t xml:space="preserve">both the </w:t>
      </w:r>
      <w:r w:rsidRPr="00612627">
        <w:rPr>
          <w:rFonts w:ascii="Verdana" w:hAnsi="Verdana"/>
        </w:rPr>
        <w:t xml:space="preserve">2013 </w:t>
      </w:r>
      <w:r w:rsidR="00F413E5" w:rsidRPr="00612627">
        <w:rPr>
          <w:rFonts w:ascii="Verdana" w:hAnsi="Verdana"/>
        </w:rPr>
        <w:t>and 2019 M</w:t>
      </w:r>
      <w:r w:rsidRPr="00612627">
        <w:rPr>
          <w:rFonts w:ascii="Verdana" w:hAnsi="Verdana"/>
        </w:rPr>
        <w:t>igration </w:t>
      </w:r>
      <w:r w:rsidR="00F413E5" w:rsidRPr="00612627">
        <w:rPr>
          <w:rFonts w:ascii="Verdana" w:hAnsi="Verdana"/>
        </w:rPr>
        <w:t xml:space="preserve">Plans </w:t>
      </w:r>
      <w:r w:rsidRPr="00612627">
        <w:rPr>
          <w:rFonts w:ascii="Verdana" w:hAnsi="Verdana"/>
        </w:rPr>
        <w:t xml:space="preserve">regulations because they are </w:t>
      </w:r>
      <w:r w:rsidR="00B209D6" w:rsidRPr="00612627">
        <w:rPr>
          <w:rFonts w:ascii="Verdana" w:hAnsi="Verdana"/>
        </w:rPr>
        <w:t xml:space="preserve">both </w:t>
      </w:r>
      <w:r w:rsidRPr="00612627">
        <w:rPr>
          <w:rFonts w:ascii="Verdana" w:hAnsi="Verdana"/>
        </w:rPr>
        <w:t xml:space="preserve">still in force. </w:t>
      </w:r>
      <w:r w:rsidR="00F413E5" w:rsidRPr="00612627">
        <w:rPr>
          <w:rFonts w:ascii="Verdana" w:hAnsi="Verdana"/>
        </w:rPr>
        <w:t>The purpose of the Inquiry is to assist the Authority in implementing the migration plans</w:t>
      </w:r>
      <w:r w:rsidR="00B209D6" w:rsidRPr="00612627">
        <w:rPr>
          <w:rFonts w:ascii="Verdana" w:hAnsi="Verdana"/>
        </w:rPr>
        <w:t xml:space="preserve"> as </w:t>
      </w:r>
      <w:r w:rsidR="00B45860" w:rsidRPr="00612627">
        <w:rPr>
          <w:rFonts w:ascii="Verdana" w:hAnsi="Verdana"/>
        </w:rPr>
        <w:t>mandated</w:t>
      </w:r>
      <w:r w:rsidR="00833886">
        <w:rPr>
          <w:rFonts w:ascii="Verdana" w:hAnsi="Verdana"/>
        </w:rPr>
        <w:t xml:space="preserve"> </w:t>
      </w:r>
      <w:r w:rsidR="00B45860" w:rsidRPr="00612627">
        <w:rPr>
          <w:rFonts w:ascii="Verdana" w:hAnsi="Verdana"/>
        </w:rPr>
        <w:t>by the Radio Frequency Migration Plans</w:t>
      </w:r>
      <w:r w:rsidR="00833886">
        <w:rPr>
          <w:rFonts w:ascii="Verdana" w:hAnsi="Verdana"/>
        </w:rPr>
        <w:t xml:space="preserve"> of both</w:t>
      </w:r>
      <w:r w:rsidR="00B45860" w:rsidRPr="00612627">
        <w:rPr>
          <w:rFonts w:ascii="Verdana" w:hAnsi="Verdana"/>
        </w:rPr>
        <w:t xml:space="preserve"> 2013 and 2019 as well </w:t>
      </w:r>
      <w:r w:rsidR="002D5222" w:rsidRPr="00612627">
        <w:rPr>
          <w:rFonts w:ascii="Verdana" w:hAnsi="Verdana"/>
        </w:rPr>
        <w:t>as mandated by the IMT Roadmap</w:t>
      </w:r>
      <w:r w:rsidR="00833886">
        <w:rPr>
          <w:rFonts w:ascii="Verdana" w:hAnsi="Verdana"/>
        </w:rPr>
        <w:t>s</w:t>
      </w:r>
      <w:r w:rsidR="002D5222" w:rsidRPr="00612627">
        <w:rPr>
          <w:rFonts w:ascii="Verdana" w:hAnsi="Verdana"/>
        </w:rPr>
        <w:t xml:space="preserve"> </w:t>
      </w:r>
      <w:r w:rsidR="00833886">
        <w:rPr>
          <w:rFonts w:ascii="Verdana" w:hAnsi="Verdana"/>
        </w:rPr>
        <w:t xml:space="preserve">of </w:t>
      </w:r>
      <w:r w:rsidR="002D5222" w:rsidRPr="00612627">
        <w:rPr>
          <w:rFonts w:ascii="Verdana" w:hAnsi="Verdana"/>
        </w:rPr>
        <w:t xml:space="preserve">2014 and </w:t>
      </w:r>
      <w:r w:rsidR="00561A1D" w:rsidRPr="00612627">
        <w:rPr>
          <w:rFonts w:ascii="Verdana" w:hAnsi="Verdana"/>
        </w:rPr>
        <w:t>2019.</w:t>
      </w:r>
    </w:p>
    <w:p w14:paraId="0331DA33" w14:textId="77777777" w:rsidR="00DC35C4" w:rsidRDefault="00DC35C4" w:rsidP="00612627">
      <w:pPr>
        <w:spacing w:line="360" w:lineRule="auto"/>
        <w:ind w:left="500"/>
        <w:rPr>
          <w:rFonts w:ascii="Verdana" w:hAnsi="Verdana"/>
        </w:rPr>
      </w:pPr>
    </w:p>
    <w:p w14:paraId="2A8C9A7D" w14:textId="77777777" w:rsidR="00612627" w:rsidRDefault="00612627" w:rsidP="00612627">
      <w:pPr>
        <w:spacing w:line="360" w:lineRule="auto"/>
        <w:ind w:left="500"/>
        <w:rPr>
          <w:rFonts w:ascii="Verdana" w:hAnsi="Verdana"/>
        </w:rPr>
      </w:pPr>
    </w:p>
    <w:p w14:paraId="6F0F7D95" w14:textId="77777777" w:rsidR="00B2089F" w:rsidRPr="00612627" w:rsidRDefault="00B2089F" w:rsidP="00612627">
      <w:pPr>
        <w:spacing w:line="360" w:lineRule="auto"/>
        <w:ind w:left="500"/>
        <w:rPr>
          <w:rFonts w:ascii="Verdana" w:hAnsi="Verdana"/>
        </w:rPr>
      </w:pPr>
    </w:p>
    <w:p w14:paraId="4051BB9C" w14:textId="77777777" w:rsidR="00DC35C4" w:rsidRPr="00612627" w:rsidRDefault="00DC35C4" w:rsidP="00612627">
      <w:pPr>
        <w:pStyle w:val="ListParagraph"/>
        <w:spacing w:after="0" w:line="360" w:lineRule="auto"/>
        <w:ind w:firstLine="0"/>
        <w:rPr>
          <w:rFonts w:ascii="Verdana" w:hAnsi="Verdana"/>
          <w:b/>
          <w:bCs/>
        </w:rPr>
      </w:pPr>
    </w:p>
    <w:p w14:paraId="1A971A87" w14:textId="77777777" w:rsidR="00081B3D" w:rsidRPr="00612627" w:rsidRDefault="00081B3D" w:rsidP="00612627">
      <w:pPr>
        <w:pStyle w:val="ListParagraph"/>
        <w:numPr>
          <w:ilvl w:val="1"/>
          <w:numId w:val="3"/>
        </w:numPr>
        <w:spacing w:after="0" w:line="360" w:lineRule="auto"/>
        <w:rPr>
          <w:rFonts w:ascii="Verdana" w:hAnsi="Verdana"/>
          <w:b/>
          <w:bCs/>
        </w:rPr>
      </w:pPr>
      <w:r w:rsidRPr="00612627">
        <w:rPr>
          <w:rFonts w:ascii="Verdana" w:hAnsi="Verdana"/>
          <w:b/>
          <w:bCs/>
        </w:rPr>
        <w:t xml:space="preserve">Question </w:t>
      </w:r>
      <w:r w:rsidR="00221CC4" w:rsidRPr="00612627">
        <w:rPr>
          <w:rFonts w:ascii="Verdana" w:hAnsi="Verdana"/>
          <w:b/>
          <w:bCs/>
        </w:rPr>
        <w:t>4</w:t>
      </w:r>
    </w:p>
    <w:p w14:paraId="31E17221" w14:textId="77777777" w:rsidR="00081B3D" w:rsidRPr="00411DC7" w:rsidRDefault="00081B3D" w:rsidP="00411DC7">
      <w:pPr>
        <w:pStyle w:val="ListParagraph"/>
        <w:spacing w:line="360" w:lineRule="auto"/>
        <w:ind w:firstLine="0"/>
        <w:rPr>
          <w:rFonts w:ascii="Verdana" w:hAnsi="Verdana"/>
          <w:b/>
          <w:bCs/>
        </w:rPr>
      </w:pPr>
      <w:bookmarkStart w:id="5" w:name="_Toc85184713"/>
      <w:r w:rsidRPr="00411DC7">
        <w:rPr>
          <w:rFonts w:ascii="Verdana" w:hAnsi="Verdana"/>
          <w:b/>
          <w:bCs/>
        </w:rPr>
        <w:t>Current use and usage</w:t>
      </w:r>
      <w:bookmarkEnd w:id="5"/>
    </w:p>
    <w:p w14:paraId="30E42199" w14:textId="77777777" w:rsidR="00081B3D" w:rsidRPr="00612627" w:rsidRDefault="00081B3D" w:rsidP="00411DC7">
      <w:pPr>
        <w:pStyle w:val="ListParagraph"/>
        <w:spacing w:after="0" w:line="360" w:lineRule="auto"/>
        <w:ind w:left="709" w:right="0" w:firstLine="0"/>
        <w:rPr>
          <w:rFonts w:ascii="Verdana" w:hAnsi="Verdana"/>
        </w:rPr>
      </w:pPr>
      <w:r w:rsidRPr="00612627">
        <w:rPr>
          <w:rFonts w:ascii="Verdana" w:hAnsi="Verdana"/>
        </w:rPr>
        <w:t>SENTECH seeks clarity from the Authority regarding the intended meaning of the phrase</w:t>
      </w:r>
      <w:proofErr w:type="gramStart"/>
      <w:r w:rsidRPr="00612627">
        <w:rPr>
          <w:rFonts w:ascii="Verdana" w:hAnsi="Verdana"/>
        </w:rPr>
        <w:t>, in particular, lucidity</w:t>
      </w:r>
      <w:proofErr w:type="gramEnd"/>
      <w:r w:rsidRPr="00612627">
        <w:rPr>
          <w:rFonts w:ascii="Verdana" w:hAnsi="Verdana"/>
        </w:rPr>
        <w:t xml:space="preserve"> on the combined application of the terms use and usage: </w:t>
      </w:r>
    </w:p>
    <w:p w14:paraId="3AE9BA9B" w14:textId="77777777" w:rsidR="00081B3D" w:rsidRPr="00612627" w:rsidRDefault="00081B3D" w:rsidP="00833886">
      <w:pPr>
        <w:pStyle w:val="ListParagraph"/>
        <w:spacing w:after="0" w:line="360" w:lineRule="auto"/>
        <w:ind w:left="1440" w:right="0" w:firstLine="0"/>
        <w:rPr>
          <w:rFonts w:ascii="Verdana" w:hAnsi="Verdana"/>
        </w:rPr>
      </w:pPr>
      <w:r w:rsidRPr="00612627">
        <w:rPr>
          <w:rFonts w:ascii="Verdana" w:hAnsi="Verdana"/>
          <w:i/>
          <w:iCs/>
        </w:rPr>
        <w:t xml:space="preserve">The purpose of this Inquiry is to determine the </w:t>
      </w:r>
      <w:r w:rsidRPr="00612627">
        <w:rPr>
          <w:rFonts w:ascii="Verdana" w:hAnsi="Verdana"/>
          <w:i/>
          <w:iCs/>
          <w:u w:val="single"/>
        </w:rPr>
        <w:t>current use</w:t>
      </w:r>
      <w:r w:rsidRPr="00612627">
        <w:rPr>
          <w:rFonts w:ascii="Verdana" w:hAnsi="Verdana"/>
          <w:i/>
          <w:iCs/>
        </w:rPr>
        <w:t xml:space="preserve"> and </w:t>
      </w:r>
      <w:r w:rsidRPr="00612627">
        <w:rPr>
          <w:rFonts w:ascii="Verdana" w:hAnsi="Verdana"/>
          <w:i/>
          <w:iCs/>
          <w:u w:val="single"/>
        </w:rPr>
        <w:t>usage</w:t>
      </w:r>
      <w:r w:rsidRPr="00612627">
        <w:rPr>
          <w:rFonts w:ascii="Verdana" w:hAnsi="Verdana"/>
          <w:i/>
          <w:iCs/>
        </w:rPr>
        <w:t xml:space="preserve"> of the frequency bands as mandated by the Radio Frequency Migration Regulations 2013…</w:t>
      </w:r>
    </w:p>
    <w:p w14:paraId="33A8A5D9" w14:textId="77777777" w:rsidR="00081B3D" w:rsidRPr="00612627" w:rsidRDefault="00081B3D" w:rsidP="00612627">
      <w:pPr>
        <w:pStyle w:val="ListParagraph"/>
        <w:spacing w:after="0" w:line="360" w:lineRule="auto"/>
        <w:ind w:left="443" w:firstLine="0"/>
        <w:rPr>
          <w:rFonts w:ascii="Verdana" w:hAnsi="Verdana"/>
        </w:rPr>
      </w:pPr>
    </w:p>
    <w:p w14:paraId="67EF51FE" w14:textId="77777777" w:rsidR="00081B3D" w:rsidRPr="00612627" w:rsidRDefault="00081B3D" w:rsidP="00411DC7">
      <w:pPr>
        <w:pStyle w:val="ListParagraph"/>
        <w:spacing w:line="360" w:lineRule="auto"/>
        <w:ind w:firstLine="0"/>
        <w:rPr>
          <w:rFonts w:ascii="Verdana" w:hAnsi="Verdana"/>
          <w:b/>
          <w:bCs/>
        </w:rPr>
      </w:pPr>
      <w:bookmarkStart w:id="6" w:name="_Hlk86074980"/>
      <w:bookmarkEnd w:id="4"/>
      <w:r w:rsidRPr="00612627">
        <w:rPr>
          <w:rFonts w:ascii="Verdana" w:hAnsi="Verdana"/>
          <w:b/>
          <w:bCs/>
        </w:rPr>
        <w:t>Authority’s response:</w:t>
      </w:r>
    </w:p>
    <w:p w14:paraId="63296725" w14:textId="052E038E" w:rsidR="00DC35C4" w:rsidRPr="00612627" w:rsidRDefault="00DC35C4" w:rsidP="00411DC7">
      <w:pPr>
        <w:pStyle w:val="ListParagraph"/>
        <w:spacing w:after="0" w:line="360" w:lineRule="auto"/>
        <w:ind w:left="709" w:right="0" w:firstLine="0"/>
        <w:rPr>
          <w:rFonts w:ascii="Verdana" w:hAnsi="Verdana"/>
        </w:rPr>
      </w:pPr>
      <w:r w:rsidRPr="00612627">
        <w:rPr>
          <w:rFonts w:ascii="Verdana" w:hAnsi="Verdana"/>
        </w:rPr>
        <w:t xml:space="preserve">The </w:t>
      </w:r>
      <w:r w:rsidR="00833886">
        <w:rPr>
          <w:rFonts w:ascii="Verdana" w:hAnsi="Verdana"/>
        </w:rPr>
        <w:t>I</w:t>
      </w:r>
      <w:r w:rsidRPr="00612627">
        <w:rPr>
          <w:rFonts w:ascii="Verdana" w:hAnsi="Verdana"/>
        </w:rPr>
        <w:t xml:space="preserve">nquiry aims to </w:t>
      </w:r>
      <w:r w:rsidR="005E26D2" w:rsidRPr="00612627">
        <w:rPr>
          <w:rFonts w:ascii="Verdana" w:hAnsi="Verdana"/>
        </w:rPr>
        <w:t xml:space="preserve">gain feedback </w:t>
      </w:r>
      <w:r w:rsidRPr="00612627">
        <w:rPr>
          <w:rFonts w:ascii="Verdana" w:hAnsi="Verdana"/>
        </w:rPr>
        <w:t xml:space="preserve">on </w:t>
      </w:r>
      <w:r w:rsidR="00F413E5" w:rsidRPr="00612627">
        <w:rPr>
          <w:rFonts w:ascii="Verdana" w:hAnsi="Verdana"/>
        </w:rPr>
        <w:t xml:space="preserve">the current use of the radio frequency spectrum and to determine </w:t>
      </w:r>
      <w:r w:rsidR="000201EE" w:rsidRPr="000201EE">
        <w:rPr>
          <w:rFonts w:ascii="Verdana" w:hAnsi="Verdana"/>
        </w:rPr>
        <w:t xml:space="preserve">to what extent </w:t>
      </w:r>
      <w:r w:rsidR="0086164E" w:rsidRPr="00612627">
        <w:rPr>
          <w:rFonts w:ascii="Verdana" w:hAnsi="Verdana"/>
        </w:rPr>
        <w:t xml:space="preserve">the current users of the frequency band </w:t>
      </w:r>
      <w:r w:rsidR="00FE211D" w:rsidRPr="00612627">
        <w:rPr>
          <w:rFonts w:ascii="Verdana" w:hAnsi="Verdana"/>
        </w:rPr>
        <w:t xml:space="preserve">as well as the current </w:t>
      </w:r>
      <w:r w:rsidR="00E74381" w:rsidRPr="00612627">
        <w:rPr>
          <w:rFonts w:ascii="Verdana" w:hAnsi="Verdana"/>
        </w:rPr>
        <w:t>s</w:t>
      </w:r>
      <w:r w:rsidR="00FE211D" w:rsidRPr="00612627">
        <w:rPr>
          <w:rFonts w:ascii="Verdana" w:hAnsi="Verdana"/>
        </w:rPr>
        <w:t xml:space="preserve">ystems </w:t>
      </w:r>
      <w:r w:rsidR="00F413E5" w:rsidRPr="00612627">
        <w:rPr>
          <w:rFonts w:ascii="Verdana" w:hAnsi="Verdana"/>
        </w:rPr>
        <w:t>used</w:t>
      </w:r>
      <w:r w:rsidR="00436A4F" w:rsidRPr="00612627">
        <w:rPr>
          <w:rFonts w:ascii="Verdana" w:hAnsi="Verdana"/>
        </w:rPr>
        <w:t>.</w:t>
      </w:r>
      <w:r w:rsidR="00F413E5" w:rsidRPr="00612627">
        <w:rPr>
          <w:rFonts w:ascii="Verdana" w:hAnsi="Verdana"/>
        </w:rPr>
        <w:t xml:space="preserve"> </w:t>
      </w:r>
    </w:p>
    <w:p w14:paraId="4666E988" w14:textId="77777777" w:rsidR="00DC35C4" w:rsidRPr="00612627" w:rsidRDefault="00DC35C4" w:rsidP="00612627">
      <w:pPr>
        <w:spacing w:after="0" w:line="360" w:lineRule="auto"/>
        <w:ind w:left="720" w:right="0" w:firstLine="0"/>
        <w:rPr>
          <w:rFonts w:ascii="Verdana" w:hAnsi="Verdana"/>
        </w:rPr>
      </w:pPr>
    </w:p>
    <w:bookmarkEnd w:id="6"/>
    <w:p w14:paraId="7519E03E" w14:textId="77777777" w:rsidR="00DF015B" w:rsidRPr="00612627" w:rsidRDefault="00DF015B" w:rsidP="00612627">
      <w:pPr>
        <w:pStyle w:val="ListParagraph"/>
        <w:numPr>
          <w:ilvl w:val="1"/>
          <w:numId w:val="3"/>
        </w:numPr>
        <w:spacing w:after="0" w:line="360" w:lineRule="auto"/>
        <w:rPr>
          <w:rFonts w:ascii="Verdana" w:hAnsi="Verdana"/>
          <w:b/>
          <w:bCs/>
        </w:rPr>
      </w:pPr>
      <w:r w:rsidRPr="00612627">
        <w:rPr>
          <w:rFonts w:ascii="Verdana" w:hAnsi="Verdana"/>
          <w:b/>
          <w:bCs/>
        </w:rPr>
        <w:t xml:space="preserve">Question </w:t>
      </w:r>
      <w:r w:rsidR="00221CC4" w:rsidRPr="00612627">
        <w:rPr>
          <w:rFonts w:ascii="Verdana" w:hAnsi="Verdana"/>
          <w:b/>
          <w:bCs/>
        </w:rPr>
        <w:t>5</w:t>
      </w:r>
    </w:p>
    <w:p w14:paraId="7CBCA28E" w14:textId="77777777" w:rsidR="00DF015B" w:rsidRPr="00411DC7" w:rsidRDefault="00DF015B" w:rsidP="00411DC7">
      <w:pPr>
        <w:pStyle w:val="ListParagraph"/>
        <w:spacing w:line="360" w:lineRule="auto"/>
        <w:ind w:firstLine="0"/>
        <w:rPr>
          <w:rFonts w:ascii="Verdana" w:hAnsi="Verdana"/>
          <w:b/>
          <w:bCs/>
        </w:rPr>
      </w:pPr>
      <w:bookmarkStart w:id="7" w:name="_Toc85184714"/>
      <w:r w:rsidRPr="00411DC7">
        <w:rPr>
          <w:rFonts w:ascii="Verdana" w:hAnsi="Verdana"/>
          <w:b/>
          <w:bCs/>
        </w:rPr>
        <w:t>Radio Frequency Migration Regulations 2013</w:t>
      </w:r>
      <w:bookmarkEnd w:id="7"/>
    </w:p>
    <w:p w14:paraId="6BB5217C" w14:textId="77777777" w:rsidR="00DF015B" w:rsidRPr="00612627" w:rsidRDefault="00DF015B" w:rsidP="00411DC7">
      <w:pPr>
        <w:pStyle w:val="ListParagraph"/>
        <w:spacing w:after="0" w:line="360" w:lineRule="auto"/>
        <w:ind w:left="709" w:right="0" w:firstLine="0"/>
        <w:rPr>
          <w:rFonts w:ascii="Verdana" w:hAnsi="Verdana"/>
        </w:rPr>
      </w:pPr>
      <w:r w:rsidRPr="00612627">
        <w:rPr>
          <w:rFonts w:ascii="Verdana" w:hAnsi="Verdana"/>
        </w:rPr>
        <w:t>SENTECH is concerned that the purpose of the Inquiry is incorrectly referenced and justified. Section 34(3) of the ECA clearly indicate</w:t>
      </w:r>
      <w:r w:rsidR="00833886">
        <w:rPr>
          <w:rFonts w:ascii="Verdana" w:hAnsi="Verdana"/>
        </w:rPr>
        <w:t>s</w:t>
      </w:r>
      <w:r w:rsidRPr="00612627">
        <w:rPr>
          <w:rFonts w:ascii="Verdana" w:hAnsi="Verdana"/>
        </w:rPr>
        <w:t xml:space="preserve"> that the “Authority must assign radio frequencies consistent with the national radio frequency plan for the </w:t>
      </w:r>
      <w:r w:rsidRPr="00612627">
        <w:rPr>
          <w:rFonts w:ascii="Verdana" w:hAnsi="Verdana"/>
          <w:u w:val="single"/>
        </w:rPr>
        <w:t>use of radio frequency spectrum</w:t>
      </w:r>
      <w:r w:rsidRPr="00612627">
        <w:rPr>
          <w:rFonts w:ascii="Verdana" w:hAnsi="Verdana"/>
        </w:rPr>
        <w:t xml:space="preserve"> by licence holders and other services that may be provided pursuant to a licence exemption”. Section 2 of the Radio Frequency Migration Regulations 2013, Government Gazette No. 36334 of 3 April 2013, state that the purpose of the Regulations is to “establish the framework by which the Authority may migrate users of the radio frequency spectrum under the National Radio Frequency Plan of South Africa”. It is therefore incorrect for the Authority to imply that the Radio Frequency Migration Regulations 2013 mandate use of frequency bands.</w:t>
      </w:r>
    </w:p>
    <w:p w14:paraId="1ED294A6" w14:textId="77777777" w:rsidR="00DF015B" w:rsidRPr="00612627" w:rsidRDefault="00DF015B" w:rsidP="00612627">
      <w:pPr>
        <w:pStyle w:val="ListParagraph"/>
        <w:spacing w:after="0" w:line="360" w:lineRule="auto"/>
        <w:ind w:left="432" w:firstLine="0"/>
        <w:rPr>
          <w:rFonts w:ascii="Verdana" w:hAnsi="Verdana"/>
          <w:b/>
          <w:bCs/>
        </w:rPr>
      </w:pPr>
    </w:p>
    <w:p w14:paraId="0F9D6EDD" w14:textId="77777777" w:rsidR="005E26D2" w:rsidRPr="00612627" w:rsidRDefault="00DF015B" w:rsidP="00411DC7">
      <w:pPr>
        <w:pStyle w:val="ListParagraph"/>
        <w:spacing w:line="360" w:lineRule="auto"/>
        <w:ind w:firstLine="0"/>
        <w:rPr>
          <w:rFonts w:ascii="Verdana" w:hAnsi="Verdana"/>
          <w:b/>
          <w:bCs/>
        </w:rPr>
      </w:pPr>
      <w:r w:rsidRPr="00612627">
        <w:rPr>
          <w:rFonts w:ascii="Verdana" w:hAnsi="Verdana"/>
          <w:b/>
          <w:bCs/>
        </w:rPr>
        <w:t>Authority’s response:</w:t>
      </w:r>
    </w:p>
    <w:p w14:paraId="25B2BD7F" w14:textId="77777777" w:rsidR="005E26D2" w:rsidRPr="00612627" w:rsidRDefault="00294077" w:rsidP="00411DC7">
      <w:pPr>
        <w:pStyle w:val="ListParagraph"/>
        <w:spacing w:after="0" w:line="360" w:lineRule="auto"/>
        <w:ind w:left="709" w:right="0" w:firstLine="0"/>
        <w:rPr>
          <w:rFonts w:ascii="Verdana" w:hAnsi="Verdana"/>
        </w:rPr>
      </w:pPr>
      <w:r w:rsidRPr="00612627">
        <w:rPr>
          <w:rFonts w:ascii="Verdana" w:hAnsi="Verdana"/>
        </w:rPr>
        <w:t>Regulation</w:t>
      </w:r>
      <w:r w:rsidR="00833886">
        <w:rPr>
          <w:rFonts w:ascii="Verdana" w:hAnsi="Verdana"/>
        </w:rPr>
        <w:t>s</w:t>
      </w:r>
      <w:r w:rsidRPr="00612627">
        <w:rPr>
          <w:rFonts w:ascii="Verdana" w:hAnsi="Verdana"/>
        </w:rPr>
        <w:t xml:space="preserve"> 4</w:t>
      </w:r>
      <w:r w:rsidR="00DA1AD1" w:rsidRPr="00612627">
        <w:rPr>
          <w:rFonts w:ascii="Verdana" w:hAnsi="Verdana"/>
        </w:rPr>
        <w:t xml:space="preserve">, 5 </w:t>
      </w:r>
      <w:r w:rsidR="00E25D35" w:rsidRPr="00612627">
        <w:rPr>
          <w:rFonts w:ascii="Verdana" w:hAnsi="Verdana"/>
        </w:rPr>
        <w:t xml:space="preserve">and </w:t>
      </w:r>
      <w:r w:rsidR="00561A1D" w:rsidRPr="00612627">
        <w:rPr>
          <w:rFonts w:ascii="Verdana" w:hAnsi="Verdana"/>
        </w:rPr>
        <w:t>6 of</w:t>
      </w:r>
      <w:r w:rsidRPr="00612627">
        <w:rPr>
          <w:rFonts w:ascii="Verdana" w:hAnsi="Verdana"/>
        </w:rPr>
        <w:t xml:space="preserve"> the </w:t>
      </w:r>
      <w:r w:rsidR="001475C8" w:rsidRPr="00612627">
        <w:rPr>
          <w:rFonts w:ascii="Verdana" w:hAnsi="Verdana"/>
        </w:rPr>
        <w:t>Radio Frequency M</w:t>
      </w:r>
      <w:r w:rsidR="005E26D2" w:rsidRPr="00612627">
        <w:rPr>
          <w:rFonts w:ascii="Verdana" w:hAnsi="Verdana"/>
        </w:rPr>
        <w:t xml:space="preserve">igration </w:t>
      </w:r>
      <w:r w:rsidR="001475C8" w:rsidRPr="00612627">
        <w:rPr>
          <w:rFonts w:ascii="Verdana" w:hAnsi="Verdana"/>
        </w:rPr>
        <w:t>R</w:t>
      </w:r>
      <w:r w:rsidR="005E26D2" w:rsidRPr="00612627">
        <w:rPr>
          <w:rFonts w:ascii="Verdana" w:hAnsi="Verdana"/>
        </w:rPr>
        <w:t xml:space="preserve">egulations, </w:t>
      </w:r>
      <w:r w:rsidR="00371CE1" w:rsidRPr="00612627">
        <w:rPr>
          <w:rFonts w:ascii="Verdana" w:hAnsi="Verdana"/>
        </w:rPr>
        <w:t xml:space="preserve">read with section 34(16) of </w:t>
      </w:r>
      <w:r w:rsidR="005E26D2" w:rsidRPr="00612627">
        <w:rPr>
          <w:rFonts w:ascii="Verdana" w:hAnsi="Verdana"/>
        </w:rPr>
        <w:t xml:space="preserve">the </w:t>
      </w:r>
      <w:r w:rsidR="002A2A27" w:rsidRPr="00612627">
        <w:rPr>
          <w:rFonts w:ascii="Verdana" w:hAnsi="Verdana"/>
        </w:rPr>
        <w:t>Electronic communications Acts (</w:t>
      </w:r>
      <w:r w:rsidR="005E26D2" w:rsidRPr="00612627">
        <w:rPr>
          <w:rFonts w:ascii="Verdana" w:hAnsi="Verdana"/>
        </w:rPr>
        <w:t>ECA</w:t>
      </w:r>
      <w:r w:rsidR="002A2A27" w:rsidRPr="00612627">
        <w:rPr>
          <w:rFonts w:ascii="Verdana" w:hAnsi="Verdana"/>
        </w:rPr>
        <w:t>)</w:t>
      </w:r>
      <w:r w:rsidR="005E26D2" w:rsidRPr="00612627">
        <w:rPr>
          <w:rFonts w:ascii="Verdana" w:hAnsi="Verdana"/>
        </w:rPr>
        <w:t xml:space="preserve">, </w:t>
      </w:r>
      <w:r w:rsidR="00E25D35" w:rsidRPr="00612627">
        <w:rPr>
          <w:rFonts w:ascii="Verdana" w:hAnsi="Verdana"/>
        </w:rPr>
        <w:t xml:space="preserve">provide for the procedure and </w:t>
      </w:r>
      <w:r w:rsidR="005E26D2" w:rsidRPr="00612627">
        <w:rPr>
          <w:rFonts w:ascii="Verdana" w:hAnsi="Verdana"/>
        </w:rPr>
        <w:t xml:space="preserve">mandate to change the uses of radio frequency bands, for a range of reasons. The </w:t>
      </w:r>
      <w:r w:rsidR="00833886">
        <w:rPr>
          <w:rFonts w:ascii="Verdana" w:hAnsi="Verdana"/>
        </w:rPr>
        <w:t>I</w:t>
      </w:r>
      <w:r w:rsidR="005E26D2" w:rsidRPr="00612627">
        <w:rPr>
          <w:rFonts w:ascii="Verdana" w:hAnsi="Verdana"/>
        </w:rPr>
        <w:t>nquiry is therefore supporting this mandate to assess through consultation</w:t>
      </w:r>
      <w:r w:rsidR="00833886">
        <w:rPr>
          <w:rFonts w:ascii="Verdana" w:hAnsi="Verdana"/>
        </w:rPr>
        <w:t xml:space="preserve"> (</w:t>
      </w:r>
      <w:r w:rsidR="005E26D2" w:rsidRPr="00612627">
        <w:rPr>
          <w:rFonts w:ascii="Verdana" w:hAnsi="Verdana"/>
        </w:rPr>
        <w:t xml:space="preserve">of which this </w:t>
      </w:r>
      <w:r w:rsidR="00833886">
        <w:rPr>
          <w:rFonts w:ascii="Verdana" w:hAnsi="Verdana"/>
        </w:rPr>
        <w:t>I</w:t>
      </w:r>
      <w:r w:rsidR="005E26D2" w:rsidRPr="00612627">
        <w:rPr>
          <w:rFonts w:ascii="Verdana" w:hAnsi="Verdana"/>
        </w:rPr>
        <w:t xml:space="preserve">nquiry is </w:t>
      </w:r>
      <w:r w:rsidR="006228AB" w:rsidRPr="00612627">
        <w:rPr>
          <w:rFonts w:ascii="Verdana" w:hAnsi="Verdana"/>
        </w:rPr>
        <w:t xml:space="preserve">an information gathering </w:t>
      </w:r>
      <w:r w:rsidR="00833886">
        <w:rPr>
          <w:rFonts w:ascii="Verdana" w:hAnsi="Verdana"/>
        </w:rPr>
        <w:lastRenderedPageBreak/>
        <w:t>component)</w:t>
      </w:r>
      <w:r w:rsidR="005E26D2" w:rsidRPr="00612627">
        <w:rPr>
          <w:rFonts w:ascii="Verdana" w:hAnsi="Verdana"/>
        </w:rPr>
        <w:t>, the need to change the uses of radio frequency bands by gaining feedback from stakeholders on the current use and usage of frequency bands.</w:t>
      </w:r>
    </w:p>
    <w:p w14:paraId="551C873A" w14:textId="77777777" w:rsidR="005E26D2" w:rsidRPr="00612627" w:rsidRDefault="005E26D2" w:rsidP="00612627">
      <w:pPr>
        <w:spacing w:after="0" w:line="360" w:lineRule="auto"/>
        <w:ind w:left="0" w:firstLine="0"/>
        <w:rPr>
          <w:rFonts w:ascii="Verdana" w:hAnsi="Verdana"/>
        </w:rPr>
      </w:pPr>
    </w:p>
    <w:p w14:paraId="427CB0F5" w14:textId="77777777" w:rsidR="0036477A" w:rsidRPr="00612627" w:rsidRDefault="0036477A" w:rsidP="00612627">
      <w:pPr>
        <w:pStyle w:val="ListParagraph"/>
        <w:numPr>
          <w:ilvl w:val="1"/>
          <w:numId w:val="3"/>
        </w:numPr>
        <w:spacing w:after="0" w:line="360" w:lineRule="auto"/>
        <w:ind w:left="426" w:hanging="426"/>
        <w:rPr>
          <w:rFonts w:ascii="Verdana" w:hAnsi="Verdana"/>
          <w:b/>
          <w:bCs/>
        </w:rPr>
      </w:pPr>
      <w:bookmarkStart w:id="8" w:name="_Hlk86074961"/>
      <w:r w:rsidRPr="00612627">
        <w:rPr>
          <w:rFonts w:ascii="Verdana" w:hAnsi="Verdana"/>
          <w:b/>
          <w:bCs/>
        </w:rPr>
        <w:t xml:space="preserve">Question </w:t>
      </w:r>
      <w:r w:rsidR="00221CC4" w:rsidRPr="00612627">
        <w:rPr>
          <w:rFonts w:ascii="Verdana" w:hAnsi="Verdana"/>
          <w:b/>
          <w:bCs/>
        </w:rPr>
        <w:t>6</w:t>
      </w:r>
    </w:p>
    <w:bookmarkEnd w:id="8"/>
    <w:p w14:paraId="449D8EA1" w14:textId="77777777" w:rsidR="0036477A" w:rsidRPr="00612627" w:rsidRDefault="0036477A" w:rsidP="00411DC7">
      <w:pPr>
        <w:pStyle w:val="ListParagraph"/>
        <w:spacing w:after="0" w:line="360" w:lineRule="auto"/>
        <w:ind w:left="709" w:right="0" w:firstLine="0"/>
        <w:rPr>
          <w:rFonts w:ascii="Verdana" w:hAnsi="Verdana"/>
        </w:rPr>
      </w:pPr>
      <w:r w:rsidRPr="00612627">
        <w:rPr>
          <w:rFonts w:ascii="Verdana" w:hAnsi="Verdana"/>
        </w:rPr>
        <w:t xml:space="preserve">According to section 4, </w:t>
      </w:r>
      <w:r w:rsidRPr="00833886">
        <w:rPr>
          <w:rFonts w:ascii="Verdana" w:hAnsi="Verdana"/>
        </w:rPr>
        <w:t>“</w:t>
      </w:r>
      <w:r w:rsidRPr="00833886">
        <w:rPr>
          <w:rFonts w:ascii="Verdana" w:hAnsi="Verdana"/>
          <w:iCs/>
        </w:rPr>
        <w:t>The main objective of the category 1 bands is to identify priority IMT and other Radiocommunications frequency bands</w:t>
      </w:r>
      <w:r w:rsidRPr="00833886">
        <w:rPr>
          <w:rFonts w:ascii="Verdana" w:hAnsi="Verdana"/>
        </w:rPr>
        <w:t>”.</w:t>
      </w:r>
      <w:r w:rsidRPr="00612627">
        <w:rPr>
          <w:rFonts w:ascii="Verdana" w:hAnsi="Verdana"/>
        </w:rPr>
        <w:t xml:space="preserve"> Some of the bands listed are not fully aligned with the IMT frequency bands as licensed or as per the relevant Radio Frequency Assignment Plans. Is the intention to get inputs o</w:t>
      </w:r>
      <w:r w:rsidR="00833886">
        <w:rPr>
          <w:rFonts w:ascii="Verdana" w:hAnsi="Verdana"/>
        </w:rPr>
        <w:t xml:space="preserve">n </w:t>
      </w:r>
      <w:r w:rsidRPr="00612627">
        <w:rPr>
          <w:rFonts w:ascii="Verdana" w:hAnsi="Verdana"/>
        </w:rPr>
        <w:t>services working within the IMT bands as defined for South Africa</w:t>
      </w:r>
      <w:r w:rsidR="00833886">
        <w:rPr>
          <w:rFonts w:ascii="Verdana" w:hAnsi="Verdana"/>
        </w:rPr>
        <w:t>,</w:t>
      </w:r>
      <w:r w:rsidRPr="00612627">
        <w:rPr>
          <w:rFonts w:ascii="Verdana" w:hAnsi="Verdana"/>
        </w:rPr>
        <w:t xml:space="preserve"> or also o</w:t>
      </w:r>
      <w:r w:rsidR="00833886">
        <w:rPr>
          <w:rFonts w:ascii="Verdana" w:hAnsi="Verdana"/>
        </w:rPr>
        <w:t>n</w:t>
      </w:r>
      <w:r w:rsidRPr="00612627">
        <w:rPr>
          <w:rFonts w:ascii="Verdana" w:hAnsi="Verdana"/>
        </w:rPr>
        <w:t xml:space="preserve"> services adjacent to these IMT band</w:t>
      </w:r>
      <w:r w:rsidR="00833886">
        <w:rPr>
          <w:rFonts w:ascii="Verdana" w:hAnsi="Verdana"/>
        </w:rPr>
        <w:t>s</w:t>
      </w:r>
      <w:r w:rsidRPr="00612627">
        <w:rPr>
          <w:rFonts w:ascii="Verdana" w:hAnsi="Verdana"/>
        </w:rPr>
        <w:t xml:space="preserve"> as per the start/stop frequencies listed in the tables?</w:t>
      </w:r>
    </w:p>
    <w:p w14:paraId="6B759858" w14:textId="77777777" w:rsidR="00A74F04" w:rsidRPr="00612627" w:rsidRDefault="00A74F04" w:rsidP="00612627">
      <w:pPr>
        <w:pStyle w:val="ListParagraph"/>
        <w:spacing w:after="0" w:line="360" w:lineRule="auto"/>
        <w:ind w:left="426" w:firstLine="0"/>
        <w:rPr>
          <w:rFonts w:ascii="Verdana" w:hAnsi="Verdana"/>
        </w:rPr>
      </w:pPr>
    </w:p>
    <w:p w14:paraId="19624A5A" w14:textId="77777777" w:rsidR="00A74F04" w:rsidRPr="00612627" w:rsidRDefault="00A74F04" w:rsidP="00411DC7">
      <w:pPr>
        <w:pStyle w:val="ListParagraph"/>
        <w:spacing w:line="360" w:lineRule="auto"/>
        <w:ind w:firstLine="0"/>
        <w:rPr>
          <w:rFonts w:ascii="Verdana" w:hAnsi="Verdana"/>
        </w:rPr>
      </w:pPr>
      <w:bookmarkStart w:id="9" w:name="_Hlk86075191"/>
      <w:r w:rsidRPr="00612627">
        <w:rPr>
          <w:rFonts w:ascii="Verdana" w:hAnsi="Verdana"/>
          <w:b/>
          <w:bCs/>
        </w:rPr>
        <w:t>Authority’s response:</w:t>
      </w:r>
    </w:p>
    <w:bookmarkEnd w:id="9"/>
    <w:p w14:paraId="6ACB2533" w14:textId="77777777" w:rsidR="0036477A" w:rsidRPr="00612627" w:rsidRDefault="005E26D2" w:rsidP="00411DC7">
      <w:pPr>
        <w:pStyle w:val="ListParagraph"/>
        <w:spacing w:after="0" w:line="360" w:lineRule="auto"/>
        <w:ind w:left="709" w:right="0" w:firstLine="0"/>
        <w:rPr>
          <w:rFonts w:ascii="Verdana" w:hAnsi="Verdana"/>
        </w:rPr>
      </w:pPr>
      <w:r w:rsidRPr="00612627">
        <w:rPr>
          <w:rFonts w:ascii="Verdana" w:hAnsi="Verdana"/>
        </w:rPr>
        <w:t>T</w:t>
      </w:r>
      <w:r w:rsidR="00E74E18" w:rsidRPr="00612627">
        <w:rPr>
          <w:rFonts w:ascii="Verdana" w:hAnsi="Verdana"/>
        </w:rPr>
        <w:t xml:space="preserve">he purpose is to </w:t>
      </w:r>
      <w:r w:rsidRPr="00612627">
        <w:rPr>
          <w:rFonts w:ascii="Verdana" w:hAnsi="Verdana"/>
        </w:rPr>
        <w:t xml:space="preserve">gain feedback on both </w:t>
      </w:r>
      <w:r w:rsidR="00E74E18" w:rsidRPr="00612627">
        <w:rPr>
          <w:rFonts w:ascii="Verdana" w:hAnsi="Verdana"/>
        </w:rPr>
        <w:t>services working within the IMT bands as defined for South Africa</w:t>
      </w:r>
      <w:r w:rsidR="00833886">
        <w:rPr>
          <w:rFonts w:ascii="Verdana" w:hAnsi="Verdana"/>
        </w:rPr>
        <w:t>,</w:t>
      </w:r>
      <w:r w:rsidR="00E74E18" w:rsidRPr="00612627">
        <w:rPr>
          <w:rFonts w:ascii="Verdana" w:hAnsi="Verdana"/>
        </w:rPr>
        <w:t xml:space="preserve"> </w:t>
      </w:r>
      <w:r w:rsidR="00DA6636" w:rsidRPr="00612627">
        <w:rPr>
          <w:rFonts w:ascii="Verdana" w:hAnsi="Verdana"/>
        </w:rPr>
        <w:t xml:space="preserve">and </w:t>
      </w:r>
      <w:r w:rsidR="00833886">
        <w:rPr>
          <w:rFonts w:ascii="Verdana" w:hAnsi="Verdana"/>
        </w:rPr>
        <w:t xml:space="preserve">on </w:t>
      </w:r>
      <w:r w:rsidR="00E74E18" w:rsidRPr="00612627">
        <w:rPr>
          <w:rFonts w:ascii="Verdana" w:hAnsi="Verdana"/>
        </w:rPr>
        <w:t>services adjacent to these IMT band</w:t>
      </w:r>
      <w:r w:rsidR="00C038F8" w:rsidRPr="00612627">
        <w:rPr>
          <w:rFonts w:ascii="Verdana" w:hAnsi="Verdana"/>
        </w:rPr>
        <w:t>s</w:t>
      </w:r>
      <w:r w:rsidR="00833886">
        <w:rPr>
          <w:rFonts w:ascii="Verdana" w:hAnsi="Verdana"/>
        </w:rPr>
        <w:t>,</w:t>
      </w:r>
      <w:r w:rsidR="00E74E18" w:rsidRPr="00612627">
        <w:rPr>
          <w:rFonts w:ascii="Verdana" w:hAnsi="Verdana"/>
        </w:rPr>
        <w:t xml:space="preserve"> as per the start/stop frequencies listed in the tables</w:t>
      </w:r>
      <w:r w:rsidR="00833886">
        <w:rPr>
          <w:rFonts w:ascii="Verdana" w:hAnsi="Verdana"/>
        </w:rPr>
        <w:t>,</w:t>
      </w:r>
      <w:r w:rsidR="00DA6636" w:rsidRPr="00612627">
        <w:rPr>
          <w:rFonts w:ascii="Verdana" w:hAnsi="Verdana"/>
        </w:rPr>
        <w:t xml:space="preserve"> </w:t>
      </w:r>
      <w:proofErr w:type="gramStart"/>
      <w:r w:rsidR="00DA6636" w:rsidRPr="00612627">
        <w:rPr>
          <w:rFonts w:ascii="Verdana" w:hAnsi="Verdana"/>
        </w:rPr>
        <w:t xml:space="preserve">in order </w:t>
      </w:r>
      <w:r w:rsidRPr="00612627">
        <w:rPr>
          <w:rFonts w:ascii="Verdana" w:hAnsi="Verdana"/>
        </w:rPr>
        <w:t>to</w:t>
      </w:r>
      <w:proofErr w:type="gramEnd"/>
      <w:r w:rsidRPr="00612627">
        <w:rPr>
          <w:rFonts w:ascii="Verdana" w:hAnsi="Verdana"/>
        </w:rPr>
        <w:t xml:space="preserve"> support </w:t>
      </w:r>
      <w:r w:rsidR="00DA6636" w:rsidRPr="00612627">
        <w:rPr>
          <w:rFonts w:ascii="Verdana" w:hAnsi="Verdana"/>
        </w:rPr>
        <w:t xml:space="preserve">the </w:t>
      </w:r>
      <w:r w:rsidRPr="00612627">
        <w:rPr>
          <w:rFonts w:ascii="Verdana" w:hAnsi="Verdana"/>
        </w:rPr>
        <w:t>understanding o</w:t>
      </w:r>
      <w:r w:rsidR="00833886">
        <w:rPr>
          <w:rFonts w:ascii="Verdana" w:hAnsi="Verdana"/>
        </w:rPr>
        <w:t>f</w:t>
      </w:r>
      <w:r w:rsidRPr="00612627">
        <w:rPr>
          <w:rFonts w:ascii="Verdana" w:hAnsi="Verdana"/>
        </w:rPr>
        <w:t xml:space="preserve"> current use and usage.</w:t>
      </w:r>
    </w:p>
    <w:p w14:paraId="0E5F12D0" w14:textId="77777777" w:rsidR="005E26D2" w:rsidRPr="00612627" w:rsidRDefault="005E26D2" w:rsidP="00612627">
      <w:pPr>
        <w:pStyle w:val="ListParagraph"/>
        <w:spacing w:after="0" w:line="360" w:lineRule="auto"/>
        <w:ind w:firstLine="0"/>
        <w:rPr>
          <w:rFonts w:ascii="Verdana" w:hAnsi="Verdana"/>
          <w:b/>
          <w:bCs/>
        </w:rPr>
      </w:pPr>
    </w:p>
    <w:p w14:paraId="70615DA6" w14:textId="77777777" w:rsidR="00DF015B" w:rsidRPr="00612627" w:rsidRDefault="00DF015B" w:rsidP="00411DC7">
      <w:pPr>
        <w:pStyle w:val="ListParagraph"/>
        <w:numPr>
          <w:ilvl w:val="1"/>
          <w:numId w:val="3"/>
        </w:numPr>
        <w:spacing w:after="0" w:line="360" w:lineRule="auto"/>
        <w:ind w:left="720" w:hanging="720"/>
        <w:rPr>
          <w:rFonts w:ascii="Verdana" w:hAnsi="Verdana"/>
          <w:b/>
          <w:bCs/>
        </w:rPr>
      </w:pPr>
      <w:r w:rsidRPr="00612627">
        <w:rPr>
          <w:rFonts w:ascii="Verdana" w:hAnsi="Verdana"/>
          <w:b/>
          <w:bCs/>
        </w:rPr>
        <w:t xml:space="preserve"> </w:t>
      </w:r>
      <w:bookmarkStart w:id="10" w:name="_Hlk86132104"/>
      <w:r w:rsidRPr="00612627">
        <w:rPr>
          <w:rFonts w:ascii="Verdana" w:hAnsi="Verdana"/>
          <w:b/>
          <w:bCs/>
        </w:rPr>
        <w:t xml:space="preserve">Question </w:t>
      </w:r>
      <w:bookmarkStart w:id="11" w:name="_Toc85184715"/>
      <w:bookmarkEnd w:id="10"/>
      <w:r w:rsidR="00221CC4" w:rsidRPr="00612627">
        <w:rPr>
          <w:rFonts w:ascii="Verdana" w:hAnsi="Verdana"/>
          <w:b/>
          <w:bCs/>
        </w:rPr>
        <w:t>7</w:t>
      </w:r>
    </w:p>
    <w:p w14:paraId="625289F6" w14:textId="77777777" w:rsidR="00DF015B" w:rsidRPr="00411DC7" w:rsidRDefault="00DF015B" w:rsidP="00411DC7">
      <w:pPr>
        <w:pStyle w:val="ListParagraph"/>
        <w:spacing w:line="360" w:lineRule="auto"/>
        <w:ind w:firstLine="0"/>
        <w:rPr>
          <w:rFonts w:ascii="Verdana" w:hAnsi="Verdana"/>
          <w:b/>
          <w:bCs/>
        </w:rPr>
      </w:pPr>
      <w:r w:rsidRPr="00411DC7">
        <w:rPr>
          <w:rFonts w:ascii="Verdana" w:hAnsi="Verdana"/>
          <w:b/>
          <w:bCs/>
        </w:rPr>
        <w:t>Implementation Plan</w:t>
      </w:r>
      <w:bookmarkEnd w:id="11"/>
    </w:p>
    <w:p w14:paraId="1383887F" w14:textId="77777777" w:rsidR="00DF015B" w:rsidRPr="00612627" w:rsidRDefault="00DF015B" w:rsidP="00411DC7">
      <w:pPr>
        <w:pStyle w:val="ListParagraph"/>
        <w:spacing w:after="0" w:line="360" w:lineRule="auto"/>
        <w:ind w:left="709" w:right="0" w:firstLine="0"/>
        <w:rPr>
          <w:rFonts w:ascii="Verdana" w:hAnsi="Verdana"/>
        </w:rPr>
      </w:pPr>
      <w:r w:rsidRPr="00612627">
        <w:rPr>
          <w:rFonts w:ascii="Verdana" w:hAnsi="Verdana"/>
        </w:rPr>
        <w:t xml:space="preserve">SENTECH seeks further clarification on the extended phrase below: </w:t>
      </w:r>
    </w:p>
    <w:p w14:paraId="381839B8" w14:textId="77777777" w:rsidR="00DF015B" w:rsidRDefault="00DF015B" w:rsidP="00833886">
      <w:pPr>
        <w:pStyle w:val="ListParagraph"/>
        <w:spacing w:after="0" w:line="360" w:lineRule="auto"/>
        <w:ind w:left="1440" w:right="0" w:firstLine="0"/>
        <w:rPr>
          <w:rFonts w:ascii="Verdana" w:hAnsi="Verdana"/>
          <w:i/>
          <w:iCs/>
        </w:rPr>
      </w:pPr>
      <w:r w:rsidRPr="00612627">
        <w:rPr>
          <w:rFonts w:ascii="Verdana" w:hAnsi="Verdana"/>
          <w:i/>
          <w:iCs/>
        </w:rPr>
        <w:t xml:space="preserve">The purpose of this Inquiry is to determine the current use and usage of the frequency bands as mandated by the Radio Frequency Migration Regulations 2013 </w:t>
      </w:r>
      <w:proofErr w:type="gramStart"/>
      <w:r w:rsidRPr="00612627">
        <w:rPr>
          <w:rFonts w:ascii="Verdana" w:hAnsi="Verdana"/>
          <w:i/>
          <w:iCs/>
        </w:rPr>
        <w:t>in order to</w:t>
      </w:r>
      <w:proofErr w:type="gramEnd"/>
      <w:r w:rsidRPr="00612627">
        <w:rPr>
          <w:rFonts w:ascii="Verdana" w:hAnsi="Verdana"/>
          <w:i/>
          <w:iCs/>
        </w:rPr>
        <w:t xml:space="preserve"> </w:t>
      </w:r>
      <w:r w:rsidRPr="00612627">
        <w:rPr>
          <w:rFonts w:ascii="Verdana" w:hAnsi="Verdana"/>
          <w:i/>
          <w:iCs/>
          <w:u w:val="single"/>
        </w:rPr>
        <w:t>develop an implementation plan</w:t>
      </w:r>
      <w:r w:rsidRPr="00612627">
        <w:rPr>
          <w:rFonts w:ascii="Verdana" w:hAnsi="Verdana"/>
          <w:i/>
          <w:iCs/>
        </w:rPr>
        <w:t xml:space="preserve"> regarding the Radio Frequency Migration Plans, IMT Roadmap and the frequencies identified for migration during the development of the National Radio Frequency Plan of 2018…</w:t>
      </w:r>
    </w:p>
    <w:p w14:paraId="146B098F" w14:textId="77777777" w:rsidR="00833886" w:rsidRPr="00612627" w:rsidRDefault="00833886" w:rsidP="00833886">
      <w:pPr>
        <w:pStyle w:val="ListParagraph"/>
        <w:spacing w:after="0" w:line="360" w:lineRule="auto"/>
        <w:ind w:left="1440" w:right="0" w:firstLine="0"/>
        <w:rPr>
          <w:rFonts w:ascii="Verdana" w:hAnsi="Verdana"/>
          <w:i/>
          <w:iCs/>
        </w:rPr>
      </w:pPr>
    </w:p>
    <w:p w14:paraId="695A71E3" w14:textId="77777777" w:rsidR="00DF015B" w:rsidRPr="00612627" w:rsidRDefault="00DF015B" w:rsidP="00411DC7">
      <w:pPr>
        <w:pStyle w:val="ListParagraph"/>
        <w:spacing w:after="0" w:line="360" w:lineRule="auto"/>
        <w:ind w:left="709" w:right="0" w:firstLine="0"/>
        <w:rPr>
          <w:rFonts w:ascii="Verdana" w:hAnsi="Verdana"/>
        </w:rPr>
      </w:pPr>
      <w:r w:rsidRPr="00612627">
        <w:rPr>
          <w:rFonts w:ascii="Verdana" w:hAnsi="Verdana"/>
        </w:rPr>
        <w:t xml:space="preserve">SENTECH requests the Authority to provide clarity regarding which implementation plan is envisioned. The company’s understanding is that the </w:t>
      </w:r>
      <w:r w:rsidRPr="00833886">
        <w:rPr>
          <w:rFonts w:ascii="Verdana" w:hAnsi="Verdana"/>
          <w:iCs/>
        </w:rPr>
        <w:t>Radio Frequency Migration Regulations 2013</w:t>
      </w:r>
      <w:r w:rsidRPr="00612627">
        <w:rPr>
          <w:rFonts w:ascii="Verdana" w:hAnsi="Verdana"/>
          <w:i/>
          <w:iCs/>
        </w:rPr>
        <w:t xml:space="preserve"> </w:t>
      </w:r>
      <w:r w:rsidRPr="00612627">
        <w:rPr>
          <w:rFonts w:ascii="Verdana" w:hAnsi="Verdana"/>
        </w:rPr>
        <w:t xml:space="preserve">outline the following: Principles for Radio </w:t>
      </w:r>
      <w:r w:rsidR="00833886">
        <w:rPr>
          <w:rFonts w:ascii="Verdana" w:hAnsi="Verdana"/>
        </w:rPr>
        <w:t>F</w:t>
      </w:r>
      <w:r w:rsidRPr="00612627">
        <w:rPr>
          <w:rFonts w:ascii="Verdana" w:hAnsi="Verdana"/>
        </w:rPr>
        <w:t xml:space="preserve">requency </w:t>
      </w:r>
      <w:r w:rsidR="007926FE">
        <w:rPr>
          <w:rFonts w:ascii="Verdana" w:hAnsi="Verdana"/>
        </w:rPr>
        <w:t>S</w:t>
      </w:r>
      <w:r w:rsidRPr="00612627">
        <w:rPr>
          <w:rFonts w:ascii="Verdana" w:hAnsi="Verdana"/>
        </w:rPr>
        <w:t xml:space="preserve">pectrum </w:t>
      </w:r>
      <w:r w:rsidR="007926FE">
        <w:rPr>
          <w:rFonts w:ascii="Verdana" w:hAnsi="Verdana"/>
        </w:rPr>
        <w:t>M</w:t>
      </w:r>
      <w:r w:rsidRPr="00612627">
        <w:rPr>
          <w:rFonts w:ascii="Verdana" w:hAnsi="Verdana"/>
        </w:rPr>
        <w:t>igration</w:t>
      </w:r>
      <w:r w:rsidR="007926FE">
        <w:rPr>
          <w:rFonts w:ascii="Verdana" w:hAnsi="Verdana"/>
        </w:rPr>
        <w:t>;</w:t>
      </w:r>
      <w:r w:rsidRPr="00612627">
        <w:rPr>
          <w:rFonts w:ascii="Verdana" w:hAnsi="Verdana"/>
        </w:rPr>
        <w:t xml:space="preserve"> Processes for Radio Frequency Migration</w:t>
      </w:r>
      <w:r w:rsidR="007926FE">
        <w:rPr>
          <w:rFonts w:ascii="Verdana" w:hAnsi="Verdana"/>
        </w:rPr>
        <w:t>;</w:t>
      </w:r>
      <w:r w:rsidRPr="00612627">
        <w:rPr>
          <w:rFonts w:ascii="Verdana" w:hAnsi="Verdana"/>
        </w:rPr>
        <w:t xml:space="preserve"> Preparation of a Radio Frequency Spectrum Assignment Plan</w:t>
      </w:r>
      <w:r w:rsidR="007926FE">
        <w:rPr>
          <w:rFonts w:ascii="Verdana" w:hAnsi="Verdana"/>
        </w:rPr>
        <w:t>;</w:t>
      </w:r>
      <w:r w:rsidRPr="00612627">
        <w:rPr>
          <w:rFonts w:ascii="Verdana" w:hAnsi="Verdana"/>
        </w:rPr>
        <w:t xml:space="preserve"> and Amendment of a Radio Frequency Spectrum Licence. </w:t>
      </w:r>
      <w:r w:rsidRPr="007926FE">
        <w:rPr>
          <w:rFonts w:ascii="Verdana" w:hAnsi="Verdana"/>
        </w:rPr>
        <w:t xml:space="preserve">The </w:t>
      </w:r>
      <w:r w:rsidRPr="007926FE">
        <w:rPr>
          <w:rFonts w:ascii="Verdana" w:hAnsi="Verdana"/>
          <w:iCs/>
        </w:rPr>
        <w:t xml:space="preserve">Radio Frequency Migration Regulations 2013 </w:t>
      </w:r>
      <w:r w:rsidRPr="007926FE">
        <w:rPr>
          <w:rFonts w:ascii="Verdana" w:hAnsi="Verdana"/>
        </w:rPr>
        <w:t xml:space="preserve">state that frequencies identified for possible migration will be done through </w:t>
      </w:r>
      <w:r w:rsidRPr="007926FE">
        <w:rPr>
          <w:rFonts w:ascii="Verdana" w:hAnsi="Verdana"/>
          <w:iCs/>
        </w:rPr>
        <w:t>the Radio Frequency Migration Plan</w:t>
      </w:r>
      <w:r w:rsidRPr="007926FE">
        <w:rPr>
          <w:rFonts w:ascii="Verdana" w:hAnsi="Verdana"/>
        </w:rPr>
        <w:t>.</w:t>
      </w:r>
    </w:p>
    <w:p w14:paraId="4DD0017B" w14:textId="77777777" w:rsidR="00DF015B" w:rsidRDefault="00DF015B" w:rsidP="00612627">
      <w:pPr>
        <w:pStyle w:val="ListParagraph"/>
        <w:spacing w:after="0" w:line="360" w:lineRule="auto"/>
        <w:ind w:firstLine="0"/>
        <w:rPr>
          <w:rFonts w:ascii="Verdana" w:hAnsi="Verdana"/>
          <w:b/>
          <w:bCs/>
        </w:rPr>
      </w:pPr>
    </w:p>
    <w:p w14:paraId="3FD5BABA" w14:textId="77777777" w:rsidR="005E26D2" w:rsidRPr="00612627" w:rsidRDefault="005E26D2" w:rsidP="00411DC7">
      <w:pPr>
        <w:pStyle w:val="ListParagraph"/>
        <w:spacing w:line="360" w:lineRule="auto"/>
        <w:ind w:firstLine="0"/>
        <w:rPr>
          <w:rFonts w:ascii="Verdana" w:hAnsi="Verdana"/>
          <w:b/>
          <w:bCs/>
        </w:rPr>
      </w:pPr>
      <w:r w:rsidRPr="00612627">
        <w:rPr>
          <w:rFonts w:ascii="Verdana" w:hAnsi="Verdana"/>
          <w:b/>
          <w:bCs/>
        </w:rPr>
        <w:t>Authority’s response:</w:t>
      </w:r>
    </w:p>
    <w:p w14:paraId="056952C2" w14:textId="77777777" w:rsidR="00F96644" w:rsidRPr="00612627" w:rsidRDefault="00124059" w:rsidP="00411DC7">
      <w:pPr>
        <w:pStyle w:val="ListParagraph"/>
        <w:spacing w:after="0" w:line="360" w:lineRule="auto"/>
        <w:ind w:left="709" w:right="0" w:firstLine="0"/>
        <w:rPr>
          <w:rFonts w:ascii="Verdana" w:hAnsi="Verdana"/>
        </w:rPr>
      </w:pPr>
      <w:r w:rsidRPr="00612627">
        <w:rPr>
          <w:rFonts w:ascii="Verdana" w:hAnsi="Verdana"/>
        </w:rPr>
        <w:t>The purpose of the Inquiry is to assist the Authority in implementing the migration plans as mandated by the Radio Frequency Migration Plans</w:t>
      </w:r>
      <w:r w:rsidR="007926FE">
        <w:rPr>
          <w:rFonts w:ascii="Verdana" w:hAnsi="Verdana"/>
        </w:rPr>
        <w:t xml:space="preserve"> of</w:t>
      </w:r>
      <w:r w:rsidRPr="00612627">
        <w:rPr>
          <w:rFonts w:ascii="Verdana" w:hAnsi="Verdana"/>
        </w:rPr>
        <w:t xml:space="preserve"> 2013 and 2019 as well as mandated by the IMT Roadmap</w:t>
      </w:r>
      <w:r w:rsidR="007926FE">
        <w:rPr>
          <w:rFonts w:ascii="Verdana" w:hAnsi="Verdana"/>
        </w:rPr>
        <w:t>s of</w:t>
      </w:r>
      <w:r w:rsidRPr="00612627">
        <w:rPr>
          <w:rFonts w:ascii="Verdana" w:hAnsi="Verdana"/>
        </w:rPr>
        <w:t xml:space="preserve"> 2014 and 2019. The implementation of the Radio Frequency Migration Plan is through the development of the Radio Frequency Spectrum Assignment Plan in accordance </w:t>
      </w:r>
      <w:r w:rsidR="000C7FA6" w:rsidRPr="00612627">
        <w:rPr>
          <w:rFonts w:ascii="Verdana" w:hAnsi="Verdana"/>
        </w:rPr>
        <w:t>with Regulation</w:t>
      </w:r>
      <w:r w:rsidRPr="00612627">
        <w:rPr>
          <w:rFonts w:ascii="Verdana" w:hAnsi="Verdana"/>
        </w:rPr>
        <w:t xml:space="preserve"> 5</w:t>
      </w:r>
      <w:r w:rsidRPr="00612627">
        <w:rPr>
          <w:rFonts w:ascii="Verdana" w:hAnsi="Verdana"/>
          <w:vertAlign w:val="superscript"/>
        </w:rPr>
        <w:footnoteReference w:id="3"/>
      </w:r>
      <w:r w:rsidR="00F92D04">
        <w:rPr>
          <w:rFonts w:ascii="Verdana" w:hAnsi="Verdana"/>
        </w:rPr>
        <w:t>.</w:t>
      </w:r>
    </w:p>
    <w:p w14:paraId="34988025" w14:textId="77777777" w:rsidR="009964F5" w:rsidRDefault="009964F5" w:rsidP="00411DC7">
      <w:pPr>
        <w:pStyle w:val="ListParagraph"/>
        <w:spacing w:after="0" w:line="360" w:lineRule="auto"/>
        <w:ind w:left="709" w:right="0" w:firstLine="0"/>
        <w:rPr>
          <w:rFonts w:ascii="Verdana" w:hAnsi="Verdana"/>
          <w:lang w:val="en-US"/>
        </w:rPr>
      </w:pPr>
      <w:r w:rsidRPr="00612627">
        <w:rPr>
          <w:rFonts w:ascii="Verdana" w:hAnsi="Verdana"/>
          <w:lang w:val="en-US"/>
        </w:rPr>
        <w:t>The process of frequency migration is carried out in a manner consistent with the Radio Frequency Spectrum Regulations 2015</w:t>
      </w:r>
      <w:r w:rsidR="007926FE">
        <w:rPr>
          <w:rFonts w:ascii="Verdana" w:hAnsi="Verdana"/>
          <w:lang w:val="en-US"/>
        </w:rPr>
        <w:t>,</w:t>
      </w:r>
      <w:r w:rsidRPr="00612627">
        <w:rPr>
          <w:rFonts w:ascii="Verdana" w:hAnsi="Verdana"/>
          <w:lang w:val="en-US"/>
        </w:rPr>
        <w:t xml:space="preserve"> and the generic process is described in the Frequency Migration Regulation (FMR) 2013.</w:t>
      </w:r>
    </w:p>
    <w:p w14:paraId="5978D099" w14:textId="77777777" w:rsidR="00AF1C70" w:rsidRPr="00612627" w:rsidRDefault="00AF1C70" w:rsidP="00411DC7">
      <w:pPr>
        <w:spacing w:after="0" w:line="360" w:lineRule="auto"/>
        <w:ind w:left="442" w:right="0" w:firstLine="0"/>
        <w:rPr>
          <w:rFonts w:ascii="Verdana" w:hAnsi="Verdana"/>
          <w:lang w:val="en-US"/>
        </w:rPr>
      </w:pPr>
    </w:p>
    <w:p w14:paraId="0AE77087" w14:textId="77777777" w:rsidR="009964F5" w:rsidRPr="00612627" w:rsidRDefault="009964F5" w:rsidP="00411DC7">
      <w:pPr>
        <w:pStyle w:val="ListParagraph"/>
        <w:spacing w:after="0" w:line="360" w:lineRule="auto"/>
        <w:ind w:left="709" w:right="0" w:firstLine="0"/>
        <w:rPr>
          <w:rFonts w:ascii="Verdana" w:hAnsi="Verdana"/>
          <w:lang w:val="en-US"/>
        </w:rPr>
      </w:pPr>
      <w:r w:rsidRPr="00612627">
        <w:rPr>
          <w:rFonts w:ascii="Verdana" w:hAnsi="Verdana"/>
          <w:lang w:val="en-US"/>
        </w:rPr>
        <w:t>The key processes are described in the Radio Frequency Spectrum Regulations (RFSR) 2015, and</w:t>
      </w:r>
      <w:r w:rsidR="001C0B23" w:rsidRPr="00612627">
        <w:rPr>
          <w:rFonts w:ascii="Verdana" w:hAnsi="Verdana"/>
          <w:lang w:val="en-US"/>
        </w:rPr>
        <w:t xml:space="preserve"> </w:t>
      </w:r>
      <w:r w:rsidRPr="00612627">
        <w:rPr>
          <w:rFonts w:ascii="Verdana" w:hAnsi="Verdana"/>
          <w:lang w:val="en-US"/>
        </w:rPr>
        <w:t>are as follows:</w:t>
      </w:r>
    </w:p>
    <w:p w14:paraId="6BD49094" w14:textId="77777777" w:rsidR="009964F5" w:rsidRPr="00612627" w:rsidRDefault="009964F5" w:rsidP="007926FE">
      <w:pPr>
        <w:pStyle w:val="ListParagraph"/>
        <w:numPr>
          <w:ilvl w:val="0"/>
          <w:numId w:val="9"/>
        </w:numPr>
        <w:spacing w:after="160" w:line="360" w:lineRule="auto"/>
        <w:ind w:left="1260" w:right="0" w:firstLine="0"/>
        <w:rPr>
          <w:rFonts w:ascii="Verdana" w:hAnsi="Verdana"/>
          <w:lang w:val="en-US"/>
        </w:rPr>
      </w:pPr>
      <w:r w:rsidRPr="00612627">
        <w:rPr>
          <w:rFonts w:ascii="Verdana" w:hAnsi="Verdana"/>
          <w:lang w:val="en-US"/>
        </w:rPr>
        <w:t>Preparation of a RFSAP for the particular band or bands; and</w:t>
      </w:r>
    </w:p>
    <w:p w14:paraId="54BB7E0B" w14:textId="77777777" w:rsidR="009964F5" w:rsidRDefault="009964F5" w:rsidP="007926FE">
      <w:pPr>
        <w:pStyle w:val="ListParagraph"/>
        <w:numPr>
          <w:ilvl w:val="0"/>
          <w:numId w:val="9"/>
        </w:numPr>
        <w:spacing w:after="160" w:line="360" w:lineRule="auto"/>
        <w:ind w:left="1260" w:right="0" w:firstLine="0"/>
        <w:rPr>
          <w:rFonts w:ascii="Verdana" w:hAnsi="Verdana"/>
          <w:lang w:val="en-US"/>
        </w:rPr>
      </w:pPr>
      <w:r w:rsidRPr="00612627">
        <w:rPr>
          <w:rFonts w:ascii="Verdana" w:hAnsi="Verdana"/>
          <w:lang w:val="en-US"/>
        </w:rPr>
        <w:t xml:space="preserve">Amendment of a Radio Frequency Spectrum </w:t>
      </w:r>
      <w:proofErr w:type="spellStart"/>
      <w:r w:rsidRPr="00612627">
        <w:rPr>
          <w:rFonts w:ascii="Verdana" w:hAnsi="Verdana"/>
          <w:lang w:val="en-US"/>
        </w:rPr>
        <w:t>Licence</w:t>
      </w:r>
      <w:proofErr w:type="spellEnd"/>
      <w:r w:rsidRPr="00612627">
        <w:rPr>
          <w:rFonts w:ascii="Verdana" w:hAnsi="Verdana"/>
          <w:lang w:val="en-US"/>
        </w:rPr>
        <w:t xml:space="preserve"> where necessary.</w:t>
      </w:r>
    </w:p>
    <w:p w14:paraId="37DF44A3" w14:textId="77777777" w:rsidR="00F92D04" w:rsidRPr="00612627" w:rsidRDefault="00F92D04" w:rsidP="00411DC7">
      <w:pPr>
        <w:pStyle w:val="ListParagraph"/>
        <w:spacing w:after="160" w:line="360" w:lineRule="auto"/>
        <w:ind w:right="0" w:firstLine="0"/>
        <w:rPr>
          <w:rFonts w:ascii="Verdana" w:hAnsi="Verdana"/>
          <w:lang w:val="en-US"/>
        </w:rPr>
      </w:pPr>
    </w:p>
    <w:p w14:paraId="0B58F67D" w14:textId="77777777" w:rsidR="009964F5" w:rsidRPr="00612627" w:rsidRDefault="009964F5" w:rsidP="00411DC7">
      <w:pPr>
        <w:pStyle w:val="ListParagraph"/>
        <w:spacing w:after="0" w:line="360" w:lineRule="auto"/>
        <w:ind w:left="709" w:right="0" w:firstLine="0"/>
        <w:rPr>
          <w:rFonts w:ascii="Verdana" w:hAnsi="Verdana"/>
          <w:lang w:val="en-US"/>
        </w:rPr>
      </w:pPr>
      <w:r w:rsidRPr="00612627">
        <w:rPr>
          <w:rFonts w:ascii="Verdana" w:hAnsi="Verdana"/>
          <w:lang w:val="en-US"/>
        </w:rPr>
        <w:t>When it has been established that migration is required, then the critical issue is to determine the time frame in a manner consistent with sound radio frequency spectrum management.</w:t>
      </w:r>
    </w:p>
    <w:p w14:paraId="6EF4C1A5" w14:textId="77777777" w:rsidR="009964F5" w:rsidRPr="00612627" w:rsidRDefault="009964F5" w:rsidP="00411DC7">
      <w:pPr>
        <w:pStyle w:val="ListParagraph"/>
        <w:spacing w:after="0" w:line="360" w:lineRule="auto"/>
        <w:ind w:left="709" w:right="0" w:firstLine="0"/>
        <w:rPr>
          <w:rFonts w:ascii="Verdana" w:hAnsi="Verdana"/>
          <w:lang w:val="en-US"/>
        </w:rPr>
      </w:pPr>
      <w:r w:rsidRPr="00612627">
        <w:rPr>
          <w:rFonts w:ascii="Verdana" w:hAnsi="Verdana"/>
          <w:lang w:val="en-US"/>
        </w:rPr>
        <w:t>In some cases, it is necessary to carry out a feasibility study on the band in question. This is illustrated in the process flow indicated below.</w:t>
      </w:r>
    </w:p>
    <w:p w14:paraId="3EB5C589" w14:textId="77777777" w:rsidR="009964F5" w:rsidRDefault="009964F5" w:rsidP="00B80E62">
      <w:pPr>
        <w:rPr>
          <w:sz w:val="24"/>
        </w:rPr>
      </w:pPr>
    </w:p>
    <w:p w14:paraId="5E67F681" w14:textId="77777777" w:rsidR="009964F5" w:rsidRPr="00D528A3" w:rsidRDefault="009964F5" w:rsidP="009964F5">
      <w:pPr>
        <w:rPr>
          <w:sz w:val="24"/>
        </w:rPr>
      </w:pPr>
      <w:r w:rsidRPr="001B49E7">
        <w:rPr>
          <w:noProof/>
          <w:sz w:val="24"/>
        </w:rPr>
        <w:drawing>
          <wp:inline distT="0" distB="0" distL="0" distR="0" wp14:anchorId="31A792DE" wp14:editId="082FB3D8">
            <wp:extent cx="5426075" cy="17983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0845" cy="1799901"/>
                    </a:xfrm>
                    <a:prstGeom prst="rect">
                      <a:avLst/>
                    </a:prstGeom>
                    <a:noFill/>
                    <a:ln>
                      <a:noFill/>
                    </a:ln>
                  </pic:spPr>
                </pic:pic>
              </a:graphicData>
            </a:graphic>
          </wp:inline>
        </w:drawing>
      </w:r>
    </w:p>
    <w:p w14:paraId="2840B7AD" w14:textId="77777777" w:rsidR="00AA0D94" w:rsidRPr="00612627" w:rsidRDefault="00AA0D94" w:rsidP="00612627">
      <w:pPr>
        <w:pStyle w:val="ListParagraph"/>
        <w:numPr>
          <w:ilvl w:val="1"/>
          <w:numId w:val="3"/>
        </w:numPr>
        <w:spacing w:after="0" w:line="360" w:lineRule="auto"/>
        <w:ind w:left="720" w:hanging="720"/>
        <w:rPr>
          <w:rFonts w:ascii="Verdana" w:hAnsi="Verdana"/>
          <w:b/>
          <w:bCs/>
        </w:rPr>
      </w:pPr>
      <w:bookmarkStart w:id="12" w:name="_Hlk86075072"/>
      <w:r w:rsidRPr="00612627">
        <w:rPr>
          <w:rFonts w:ascii="Verdana" w:hAnsi="Verdana"/>
          <w:b/>
          <w:bCs/>
        </w:rPr>
        <w:t xml:space="preserve">Question </w:t>
      </w:r>
      <w:r w:rsidR="00221CC4" w:rsidRPr="00612627">
        <w:rPr>
          <w:rFonts w:ascii="Verdana" w:hAnsi="Verdana"/>
          <w:b/>
          <w:bCs/>
        </w:rPr>
        <w:t>8</w:t>
      </w:r>
    </w:p>
    <w:p w14:paraId="55D32331" w14:textId="77777777" w:rsidR="00AA0D94" w:rsidRPr="00612627" w:rsidRDefault="00AA0D94" w:rsidP="00612627">
      <w:pPr>
        <w:pStyle w:val="Heading1"/>
        <w:pBdr>
          <w:top w:val="none" w:sz="0" w:space="0" w:color="auto"/>
          <w:left w:val="none" w:sz="0" w:space="0" w:color="auto"/>
          <w:bottom w:val="none" w:sz="0" w:space="0" w:color="auto"/>
          <w:right w:val="none" w:sz="0" w:space="0" w:color="auto"/>
        </w:pBdr>
        <w:shd w:val="clear" w:color="auto" w:fill="auto"/>
        <w:spacing w:before="120" w:after="120" w:line="360" w:lineRule="auto"/>
        <w:ind w:left="786" w:firstLine="0"/>
        <w:jc w:val="both"/>
        <w:rPr>
          <w:rFonts w:ascii="Verdana" w:hAnsi="Verdana"/>
          <w:b w:val="0"/>
          <w:color w:val="auto"/>
          <w:lang w:val="en-GB"/>
        </w:rPr>
      </w:pPr>
      <w:bookmarkStart w:id="13" w:name="_Toc85184717"/>
      <w:r w:rsidRPr="00612627">
        <w:rPr>
          <w:rFonts w:ascii="Verdana" w:hAnsi="Verdana"/>
          <w:color w:val="auto"/>
          <w:lang w:val="en-GB"/>
        </w:rPr>
        <w:t>Inquiry Section: Category 1 Bands</w:t>
      </w:r>
      <w:bookmarkEnd w:id="13"/>
    </w:p>
    <w:p w14:paraId="1FF9E33F" w14:textId="77777777" w:rsidR="00AA0D94" w:rsidRPr="00612627" w:rsidRDefault="00AA0D94" w:rsidP="00411DC7">
      <w:pPr>
        <w:pStyle w:val="ListParagraph"/>
        <w:spacing w:after="0" w:line="360" w:lineRule="auto"/>
        <w:ind w:left="709" w:right="0" w:firstLine="0"/>
        <w:rPr>
          <w:rFonts w:ascii="Verdana" w:hAnsi="Verdana"/>
        </w:rPr>
      </w:pPr>
      <w:r w:rsidRPr="00612627">
        <w:rPr>
          <w:rFonts w:ascii="Verdana" w:hAnsi="Verdana"/>
        </w:rPr>
        <w:t xml:space="preserve">SENTECH requires clarity from the Authority regarding the framework for the prioritisation of “IMT and other Radiocommunications frequency bands”. To </w:t>
      </w:r>
      <w:r w:rsidRPr="00612627">
        <w:rPr>
          <w:rFonts w:ascii="Verdana" w:hAnsi="Verdana"/>
        </w:rPr>
        <w:lastRenderedPageBreak/>
        <w:t>ensure objectivity and fairness of the Inquiry process, SENTECH argues that it is important for the Authority to publish the framework to be adopted when determining, weighing and prioritising issues submitted to ICASA. When the Authority refers to priority identification for IMT and “other Radiocommunications frequency bands”, does ICASA refer to mobile allocation and then IMT identification</w:t>
      </w:r>
      <w:r w:rsidR="00B92E22">
        <w:rPr>
          <w:rFonts w:ascii="Verdana" w:hAnsi="Verdana"/>
        </w:rPr>
        <w:t>?</w:t>
      </w:r>
      <w:r w:rsidRPr="00612627">
        <w:rPr>
          <w:rFonts w:ascii="Verdana" w:hAnsi="Verdana"/>
        </w:rPr>
        <w:t xml:space="preserve"> </w:t>
      </w:r>
      <w:r w:rsidR="00B92E22">
        <w:rPr>
          <w:rFonts w:ascii="Verdana" w:hAnsi="Verdana"/>
        </w:rPr>
        <w:t>O</w:t>
      </w:r>
      <w:r w:rsidRPr="00612627">
        <w:rPr>
          <w:rFonts w:ascii="Verdana" w:hAnsi="Verdana"/>
        </w:rPr>
        <w:t>r has the Authority already determined mobile allocation and then IMT identification, and the Inquiry only seeks to address issues of priority? The question is limited to issues not discussed as part of the Draft National Radio Frequency Plan 2021 that currently requires Ministerial approval.</w:t>
      </w:r>
    </w:p>
    <w:p w14:paraId="508FB690" w14:textId="77777777" w:rsidR="00AA0D94" w:rsidRPr="00612627" w:rsidRDefault="00AA0D94" w:rsidP="00411DC7">
      <w:pPr>
        <w:pStyle w:val="ListParagraph"/>
        <w:spacing w:after="0" w:line="360" w:lineRule="auto"/>
        <w:ind w:left="709" w:right="0" w:firstLine="0"/>
        <w:rPr>
          <w:rFonts w:ascii="Verdana" w:hAnsi="Verdana"/>
        </w:rPr>
      </w:pPr>
      <w:r w:rsidRPr="00612627">
        <w:rPr>
          <w:rFonts w:ascii="Verdana" w:hAnsi="Verdana"/>
        </w:rPr>
        <w:t xml:space="preserve">On the issue of “alternative frequency bands”, SENTECH requires the Authority to clarify whether this relates to IMT (terrestrial and satellite) or </w:t>
      </w:r>
      <w:r w:rsidR="00B92E22">
        <w:rPr>
          <w:rFonts w:ascii="Verdana" w:hAnsi="Verdana"/>
        </w:rPr>
        <w:t xml:space="preserve">to </w:t>
      </w:r>
      <w:r w:rsidRPr="00612627">
        <w:rPr>
          <w:rFonts w:ascii="Verdana" w:hAnsi="Verdana"/>
        </w:rPr>
        <w:t>services currently assigned spectrum in the table</w:t>
      </w:r>
      <w:r w:rsidR="00B92E22">
        <w:rPr>
          <w:rFonts w:ascii="Verdana" w:hAnsi="Verdana"/>
        </w:rPr>
        <w:t xml:space="preserve"> (</w:t>
      </w:r>
      <w:r w:rsidRPr="00612627">
        <w:rPr>
          <w:rFonts w:ascii="Verdana" w:hAnsi="Verdana"/>
        </w:rPr>
        <w:t>pages 7 to 14 of the Inquiry document</w:t>
      </w:r>
      <w:r w:rsidR="00B92E22">
        <w:rPr>
          <w:rFonts w:ascii="Verdana" w:hAnsi="Verdana"/>
        </w:rPr>
        <w:t>)</w:t>
      </w:r>
      <w:r w:rsidRPr="00612627">
        <w:rPr>
          <w:rFonts w:ascii="Verdana" w:hAnsi="Verdana"/>
        </w:rPr>
        <w:t>.</w:t>
      </w:r>
    </w:p>
    <w:p w14:paraId="345B8183" w14:textId="77777777" w:rsidR="00B92E22" w:rsidRDefault="00AA0D94" w:rsidP="00411DC7">
      <w:pPr>
        <w:pStyle w:val="ListParagraph"/>
        <w:spacing w:after="0" w:line="360" w:lineRule="auto"/>
        <w:ind w:left="709" w:right="0" w:firstLine="0"/>
        <w:rPr>
          <w:rFonts w:ascii="Verdana" w:hAnsi="Verdana"/>
        </w:rPr>
      </w:pPr>
      <w:r w:rsidRPr="00612627">
        <w:rPr>
          <w:rFonts w:ascii="Verdana" w:hAnsi="Verdana"/>
        </w:rPr>
        <w:t>SENTECH has noted that the Authority has included several bands that are still in discussion as part of the ITU Study Group processes leading to WRC-23. The company has also noted that no country position/s have been considered and approved by Cabinet for discussion at WRC-23. Additionally, the Draft National Radio Frequency Plan 2021 is yet to be approved by the Minister in compliance with section 34(2) of the ECA</w:t>
      </w:r>
      <w:r w:rsidR="00B92E22">
        <w:rPr>
          <w:rFonts w:ascii="Verdana" w:hAnsi="Verdana"/>
        </w:rPr>
        <w:t>,</w:t>
      </w:r>
      <w:r w:rsidRPr="00612627">
        <w:rPr>
          <w:rFonts w:ascii="Verdana" w:hAnsi="Verdana"/>
        </w:rPr>
        <w:t xml:space="preserve"> and the Minister is yet to publish a draft policy on 5G as indicated in the </w:t>
      </w:r>
      <w:r w:rsidRPr="00411DC7">
        <w:rPr>
          <w:rFonts w:ascii="Verdana" w:hAnsi="Verdana"/>
        </w:rPr>
        <w:t>Policy Direction on High Demand Spectrum and Policy Direction on the Licensing of the WOAN (2019)</w:t>
      </w:r>
      <w:r w:rsidRPr="00612627">
        <w:rPr>
          <w:rFonts w:ascii="Verdana" w:hAnsi="Verdana"/>
        </w:rPr>
        <w:t xml:space="preserve">. </w:t>
      </w:r>
    </w:p>
    <w:p w14:paraId="35845834" w14:textId="77777777" w:rsidR="00B92E22" w:rsidRDefault="00B92E22" w:rsidP="00411DC7">
      <w:pPr>
        <w:pStyle w:val="ListParagraph"/>
        <w:spacing w:after="0" w:line="360" w:lineRule="auto"/>
        <w:ind w:left="709" w:right="0" w:firstLine="0"/>
        <w:rPr>
          <w:rFonts w:ascii="Verdana" w:hAnsi="Verdana"/>
        </w:rPr>
      </w:pPr>
    </w:p>
    <w:p w14:paraId="3138A606" w14:textId="77777777" w:rsidR="00AA0D94" w:rsidRPr="00612627" w:rsidRDefault="00AA0D94" w:rsidP="00411DC7">
      <w:pPr>
        <w:pStyle w:val="ListParagraph"/>
        <w:spacing w:after="0" w:line="360" w:lineRule="auto"/>
        <w:ind w:left="709" w:right="0" w:firstLine="0"/>
        <w:rPr>
          <w:rFonts w:ascii="Verdana" w:hAnsi="Verdana"/>
        </w:rPr>
      </w:pPr>
      <w:r w:rsidRPr="00612627">
        <w:rPr>
          <w:rFonts w:ascii="Verdana" w:hAnsi="Verdana"/>
        </w:rPr>
        <w:t xml:space="preserve">SENTECH seeks clarity from the Authority on the legal basis justifying the consideration of the following bands for IMT: 174 – 223 MHz, 214 – 230 MHz, 223 – 230 / 230 – 238 MHz, 238 – 267 MHz, 617 – 652 / 663 – 698 MHz, 2025 – 2210 / 2200 – 2285 </w:t>
      </w:r>
      <w:r w:rsidR="00D1539C" w:rsidRPr="00612627">
        <w:rPr>
          <w:rFonts w:ascii="Verdana" w:hAnsi="Verdana"/>
        </w:rPr>
        <w:t>MHz, 3600</w:t>
      </w:r>
      <w:r w:rsidRPr="00612627">
        <w:rPr>
          <w:rFonts w:ascii="Verdana" w:hAnsi="Verdana"/>
        </w:rPr>
        <w:t xml:space="preserve"> – 3800 MHz, 3800 – 4200 MHz, 4800 – 4990 MHz, 5925 – 6425 MHz and 10 700 – 11 700 MHz.</w:t>
      </w:r>
    </w:p>
    <w:p w14:paraId="6545F391" w14:textId="77777777" w:rsidR="00AA0D94" w:rsidRPr="00612627" w:rsidRDefault="00AA0D94" w:rsidP="00612627">
      <w:pPr>
        <w:pStyle w:val="ListParagraph"/>
        <w:spacing w:line="360" w:lineRule="auto"/>
        <w:ind w:firstLine="0"/>
        <w:rPr>
          <w:rFonts w:ascii="Verdana" w:hAnsi="Verdana"/>
          <w:b/>
          <w:bCs/>
        </w:rPr>
      </w:pPr>
    </w:p>
    <w:p w14:paraId="479DF524" w14:textId="77777777" w:rsidR="00AA0D94" w:rsidRPr="00612627" w:rsidRDefault="00AA0D94" w:rsidP="00612627">
      <w:pPr>
        <w:pStyle w:val="ListParagraph"/>
        <w:spacing w:line="360" w:lineRule="auto"/>
        <w:ind w:firstLine="0"/>
        <w:rPr>
          <w:rFonts w:ascii="Verdana" w:hAnsi="Verdana"/>
        </w:rPr>
      </w:pPr>
      <w:bookmarkStart w:id="14" w:name="_Hlk86132426"/>
      <w:r w:rsidRPr="00612627">
        <w:rPr>
          <w:rFonts w:ascii="Verdana" w:hAnsi="Verdana"/>
          <w:b/>
          <w:bCs/>
        </w:rPr>
        <w:t>Authority’s response:</w:t>
      </w:r>
    </w:p>
    <w:bookmarkEnd w:id="14"/>
    <w:p w14:paraId="11D23C66" w14:textId="77777777" w:rsidR="005E26D2" w:rsidRPr="00612627" w:rsidRDefault="005E26D2" w:rsidP="00411DC7">
      <w:pPr>
        <w:pStyle w:val="ListParagraph"/>
        <w:spacing w:after="0" w:line="360" w:lineRule="auto"/>
        <w:ind w:left="709" w:right="0" w:firstLine="0"/>
        <w:rPr>
          <w:rFonts w:ascii="Verdana" w:hAnsi="Verdana"/>
        </w:rPr>
      </w:pPr>
      <w:r w:rsidRPr="00612627">
        <w:rPr>
          <w:rFonts w:ascii="Verdana" w:hAnsi="Verdana"/>
        </w:rPr>
        <w:t xml:space="preserve">The </w:t>
      </w:r>
      <w:r w:rsidR="00B92E22">
        <w:rPr>
          <w:rFonts w:ascii="Verdana" w:hAnsi="Verdana"/>
        </w:rPr>
        <w:t>I</w:t>
      </w:r>
      <w:r w:rsidRPr="00612627">
        <w:rPr>
          <w:rFonts w:ascii="Verdana" w:hAnsi="Verdana"/>
        </w:rPr>
        <w:t xml:space="preserve">nquiry aims to gain feedback on </w:t>
      </w:r>
      <w:r w:rsidR="002D0D15" w:rsidRPr="00612627">
        <w:rPr>
          <w:rFonts w:ascii="Verdana" w:hAnsi="Verdana"/>
        </w:rPr>
        <w:t>all</w:t>
      </w:r>
      <w:r w:rsidRPr="00612627">
        <w:rPr>
          <w:rFonts w:ascii="Verdana" w:hAnsi="Verdana"/>
        </w:rPr>
        <w:t xml:space="preserve"> </w:t>
      </w:r>
      <w:r w:rsidR="00B92E22">
        <w:rPr>
          <w:rFonts w:ascii="Verdana" w:hAnsi="Verdana"/>
        </w:rPr>
        <w:t>r</w:t>
      </w:r>
      <w:r w:rsidR="001A7B83" w:rsidRPr="00612627">
        <w:rPr>
          <w:rFonts w:ascii="Verdana" w:hAnsi="Verdana"/>
        </w:rPr>
        <w:t xml:space="preserve">adiocommunications </w:t>
      </w:r>
      <w:r w:rsidR="00B92E22">
        <w:rPr>
          <w:rFonts w:ascii="Verdana" w:hAnsi="Verdana"/>
        </w:rPr>
        <w:t>s</w:t>
      </w:r>
      <w:r w:rsidR="001A7B83" w:rsidRPr="00612627">
        <w:rPr>
          <w:rFonts w:ascii="Verdana" w:hAnsi="Verdana"/>
        </w:rPr>
        <w:t xml:space="preserve">ervices </w:t>
      </w:r>
      <w:proofErr w:type="gramStart"/>
      <w:r w:rsidR="00996DB9" w:rsidRPr="00612627">
        <w:rPr>
          <w:rFonts w:ascii="Verdana" w:hAnsi="Verdana"/>
        </w:rPr>
        <w:t xml:space="preserve">in </w:t>
      </w:r>
      <w:r w:rsidRPr="00612627">
        <w:rPr>
          <w:rFonts w:ascii="Verdana" w:hAnsi="Verdana"/>
        </w:rPr>
        <w:t>order to</w:t>
      </w:r>
      <w:proofErr w:type="gramEnd"/>
      <w:r w:rsidRPr="00612627">
        <w:rPr>
          <w:rFonts w:ascii="Verdana" w:hAnsi="Verdana"/>
        </w:rPr>
        <w:t xml:space="preserve"> </w:t>
      </w:r>
      <w:r w:rsidR="00996DB9" w:rsidRPr="00612627">
        <w:rPr>
          <w:rFonts w:ascii="Verdana" w:hAnsi="Verdana"/>
        </w:rPr>
        <w:t xml:space="preserve">facilitate the first phase for the implementation of </w:t>
      </w:r>
      <w:r w:rsidRPr="00612627">
        <w:rPr>
          <w:rFonts w:ascii="Verdana" w:hAnsi="Verdana"/>
        </w:rPr>
        <w:t>migration</w:t>
      </w:r>
      <w:r w:rsidR="00996DB9" w:rsidRPr="00612627">
        <w:rPr>
          <w:rFonts w:ascii="Verdana" w:hAnsi="Verdana"/>
        </w:rPr>
        <w:t xml:space="preserve"> </w:t>
      </w:r>
      <w:r w:rsidR="00922965" w:rsidRPr="00612627">
        <w:rPr>
          <w:rFonts w:ascii="Verdana" w:hAnsi="Verdana"/>
        </w:rPr>
        <w:t>plans. The</w:t>
      </w:r>
      <w:r w:rsidR="001A7B83" w:rsidRPr="00612627">
        <w:rPr>
          <w:rFonts w:ascii="Verdana" w:hAnsi="Verdana"/>
        </w:rPr>
        <w:t xml:space="preserve"> frequency bands which are the subject of the Study at the ITU-R for WRC 23 </w:t>
      </w:r>
      <w:bookmarkStart w:id="15" w:name="_Hlk86254837"/>
      <w:r w:rsidR="001A7B83" w:rsidRPr="00612627">
        <w:rPr>
          <w:rFonts w:ascii="Verdana" w:hAnsi="Verdana"/>
        </w:rPr>
        <w:t xml:space="preserve">have been included </w:t>
      </w:r>
      <w:proofErr w:type="gramStart"/>
      <w:r w:rsidR="001A7B83" w:rsidRPr="00612627">
        <w:rPr>
          <w:rFonts w:ascii="Verdana" w:hAnsi="Verdana"/>
        </w:rPr>
        <w:t>in order to</w:t>
      </w:r>
      <w:proofErr w:type="gramEnd"/>
      <w:r w:rsidR="001A7B83" w:rsidRPr="00612627">
        <w:rPr>
          <w:rFonts w:ascii="Verdana" w:hAnsi="Verdana"/>
        </w:rPr>
        <w:t xml:space="preserve"> determine the level of priority </w:t>
      </w:r>
      <w:r w:rsidR="00B92E22">
        <w:rPr>
          <w:rFonts w:ascii="Verdana" w:hAnsi="Verdana"/>
        </w:rPr>
        <w:t>attached to them</w:t>
      </w:r>
      <w:r w:rsidR="001A7B83" w:rsidRPr="00612627">
        <w:rPr>
          <w:rFonts w:ascii="Verdana" w:hAnsi="Verdana"/>
        </w:rPr>
        <w:t xml:space="preserve"> by </w:t>
      </w:r>
      <w:r w:rsidR="000E21F2" w:rsidRPr="00612627">
        <w:rPr>
          <w:rFonts w:ascii="Verdana" w:hAnsi="Verdana"/>
        </w:rPr>
        <w:t xml:space="preserve">stakeholders </w:t>
      </w:r>
      <w:r w:rsidR="001A7B83" w:rsidRPr="00612627">
        <w:rPr>
          <w:rFonts w:ascii="Verdana" w:hAnsi="Verdana"/>
        </w:rPr>
        <w:t xml:space="preserve">in South Africa for future </w:t>
      </w:r>
      <w:r w:rsidR="009850B5" w:rsidRPr="00612627">
        <w:rPr>
          <w:rFonts w:ascii="Verdana" w:hAnsi="Verdana"/>
        </w:rPr>
        <w:t>long-term</w:t>
      </w:r>
      <w:r w:rsidR="001A7B83" w:rsidRPr="00612627">
        <w:rPr>
          <w:rFonts w:ascii="Verdana" w:hAnsi="Verdana"/>
        </w:rPr>
        <w:t xml:space="preserve"> planning.</w:t>
      </w:r>
    </w:p>
    <w:bookmarkEnd w:id="15"/>
    <w:p w14:paraId="4963D21F" w14:textId="77777777" w:rsidR="005E26D2" w:rsidRPr="00612627" w:rsidRDefault="005E26D2" w:rsidP="00612627">
      <w:pPr>
        <w:spacing w:after="0" w:line="360" w:lineRule="auto"/>
        <w:ind w:left="0" w:firstLine="0"/>
        <w:rPr>
          <w:rFonts w:ascii="Verdana" w:hAnsi="Verdana"/>
          <w:b/>
          <w:bCs/>
        </w:rPr>
      </w:pPr>
    </w:p>
    <w:p w14:paraId="1580CA87" w14:textId="77777777" w:rsidR="0036477A" w:rsidRPr="00612627" w:rsidRDefault="0036477A" w:rsidP="00612627">
      <w:pPr>
        <w:pStyle w:val="ListParagraph"/>
        <w:numPr>
          <w:ilvl w:val="1"/>
          <w:numId w:val="3"/>
        </w:numPr>
        <w:spacing w:after="0" w:line="360" w:lineRule="auto"/>
        <w:ind w:left="720" w:hanging="720"/>
        <w:rPr>
          <w:rFonts w:ascii="Verdana" w:hAnsi="Verdana"/>
          <w:b/>
          <w:bCs/>
        </w:rPr>
      </w:pPr>
      <w:r w:rsidRPr="00612627">
        <w:rPr>
          <w:rFonts w:ascii="Verdana" w:hAnsi="Verdana"/>
          <w:b/>
          <w:bCs/>
        </w:rPr>
        <w:lastRenderedPageBreak/>
        <w:t xml:space="preserve">Question </w:t>
      </w:r>
      <w:r w:rsidR="00221CC4" w:rsidRPr="00612627">
        <w:rPr>
          <w:rFonts w:ascii="Verdana" w:hAnsi="Verdana"/>
          <w:b/>
          <w:bCs/>
        </w:rPr>
        <w:t>9</w:t>
      </w:r>
    </w:p>
    <w:bookmarkEnd w:id="12"/>
    <w:p w14:paraId="08E659AA" w14:textId="77777777" w:rsidR="0036477A" w:rsidRPr="00612627" w:rsidRDefault="0036477A" w:rsidP="00411DC7">
      <w:pPr>
        <w:pStyle w:val="ListParagraph"/>
        <w:spacing w:after="0" w:line="360" w:lineRule="auto"/>
        <w:ind w:left="709" w:right="0" w:firstLine="0"/>
        <w:rPr>
          <w:rFonts w:ascii="Verdana" w:hAnsi="Verdana"/>
        </w:rPr>
      </w:pPr>
      <w:r w:rsidRPr="00612627">
        <w:rPr>
          <w:rFonts w:ascii="Verdana" w:hAnsi="Verdana"/>
        </w:rPr>
        <w:t xml:space="preserve">Some bands listed in the table in section 7 </w:t>
      </w:r>
      <w:r w:rsidRPr="00B92E22">
        <w:rPr>
          <w:rFonts w:ascii="Verdana" w:hAnsi="Verdana"/>
        </w:rPr>
        <w:t>(“</w:t>
      </w:r>
      <w:r w:rsidRPr="00B92E22">
        <w:rPr>
          <w:rFonts w:ascii="Verdana" w:hAnsi="Verdana"/>
          <w:iCs/>
        </w:rPr>
        <w:t>IMT frequency category 1 bands for comments are</w:t>
      </w:r>
      <w:r w:rsidRPr="00B92E22">
        <w:rPr>
          <w:rFonts w:ascii="Verdana" w:hAnsi="Verdana"/>
        </w:rPr>
        <w:t>”)</w:t>
      </w:r>
      <w:r w:rsidRPr="00612627">
        <w:rPr>
          <w:rFonts w:ascii="Verdana" w:hAnsi="Verdana"/>
        </w:rPr>
        <w:t xml:space="preserve"> are not currently identified for IMT in South Africa (</w:t>
      </w:r>
      <w:r w:rsidR="00D1539C" w:rsidRPr="00612627">
        <w:rPr>
          <w:rFonts w:ascii="Verdana" w:hAnsi="Verdana"/>
        </w:rPr>
        <w:t>e.g.</w:t>
      </w:r>
      <w:r w:rsidRPr="00612627">
        <w:rPr>
          <w:rFonts w:ascii="Verdana" w:hAnsi="Verdana"/>
        </w:rPr>
        <w:t xml:space="preserve"> 617-652 MHz paired with 663-698 MHz, 3600-3800 MHz, and 3800-4200 MHz). Are these bands considered for IMT in South Africa? Should respondents motivate for or against these bands to be considered for IMT in future?</w:t>
      </w:r>
    </w:p>
    <w:p w14:paraId="080A8037" w14:textId="77777777" w:rsidR="00221CC4" w:rsidRPr="00612627" w:rsidRDefault="00221CC4" w:rsidP="00612627">
      <w:pPr>
        <w:pStyle w:val="ListParagraph"/>
        <w:spacing w:after="0" w:line="360" w:lineRule="auto"/>
        <w:ind w:firstLine="0"/>
        <w:rPr>
          <w:rFonts w:ascii="Verdana" w:hAnsi="Verdana"/>
        </w:rPr>
      </w:pPr>
    </w:p>
    <w:p w14:paraId="15E56CF7" w14:textId="77777777" w:rsidR="00221CC4" w:rsidRPr="00612627" w:rsidRDefault="00221CC4" w:rsidP="00612627">
      <w:pPr>
        <w:pStyle w:val="ListParagraph"/>
        <w:spacing w:after="0" w:line="360" w:lineRule="auto"/>
        <w:rPr>
          <w:rFonts w:ascii="Verdana" w:hAnsi="Verdana"/>
        </w:rPr>
      </w:pPr>
      <w:r w:rsidRPr="00612627">
        <w:rPr>
          <w:rFonts w:ascii="Verdana" w:hAnsi="Verdana"/>
          <w:b/>
          <w:bCs/>
        </w:rPr>
        <w:t>Authority’s response:</w:t>
      </w:r>
    </w:p>
    <w:p w14:paraId="1D91EEF0" w14:textId="77777777" w:rsidR="00B92E22" w:rsidRDefault="001A7B83" w:rsidP="00411DC7">
      <w:pPr>
        <w:pStyle w:val="ListParagraph"/>
        <w:spacing w:after="0" w:line="360" w:lineRule="auto"/>
        <w:ind w:left="709" w:right="0" w:firstLine="0"/>
        <w:rPr>
          <w:rFonts w:ascii="Verdana" w:hAnsi="Verdana"/>
        </w:rPr>
      </w:pPr>
      <w:r w:rsidRPr="00612627">
        <w:rPr>
          <w:rFonts w:ascii="Verdana" w:hAnsi="Verdana"/>
        </w:rPr>
        <w:t xml:space="preserve">The frequency bands are not identified for IMT in the ITU Radio Regulations and therefore are not identified for IMT in South </w:t>
      </w:r>
      <w:r w:rsidR="006F6D92" w:rsidRPr="00612627">
        <w:rPr>
          <w:rFonts w:ascii="Verdana" w:hAnsi="Verdana"/>
        </w:rPr>
        <w:t>Africa. These</w:t>
      </w:r>
      <w:r w:rsidRPr="00612627">
        <w:rPr>
          <w:rFonts w:ascii="Verdana" w:hAnsi="Verdana"/>
        </w:rPr>
        <w:t xml:space="preserve"> have been included </w:t>
      </w:r>
      <w:proofErr w:type="gramStart"/>
      <w:r w:rsidRPr="00612627">
        <w:rPr>
          <w:rFonts w:ascii="Verdana" w:hAnsi="Verdana"/>
        </w:rPr>
        <w:t>in order to</w:t>
      </w:r>
      <w:proofErr w:type="gramEnd"/>
      <w:r w:rsidRPr="00612627">
        <w:rPr>
          <w:rFonts w:ascii="Verdana" w:hAnsi="Verdana"/>
        </w:rPr>
        <w:t xml:space="preserve"> determine the level of priority place</w:t>
      </w:r>
      <w:r w:rsidR="000E21F2" w:rsidRPr="00612627">
        <w:rPr>
          <w:rFonts w:ascii="Verdana" w:hAnsi="Verdana"/>
        </w:rPr>
        <w:t>d</w:t>
      </w:r>
      <w:r w:rsidR="00B92E22">
        <w:rPr>
          <w:rFonts w:ascii="Verdana" w:hAnsi="Verdana"/>
        </w:rPr>
        <w:t xml:space="preserve"> on them</w:t>
      </w:r>
      <w:r w:rsidRPr="00612627">
        <w:rPr>
          <w:rFonts w:ascii="Verdana" w:hAnsi="Verdana"/>
        </w:rPr>
        <w:t xml:space="preserve"> by </w:t>
      </w:r>
      <w:r w:rsidR="000E21F2" w:rsidRPr="00612627">
        <w:rPr>
          <w:rFonts w:ascii="Verdana" w:hAnsi="Verdana"/>
        </w:rPr>
        <w:t xml:space="preserve">stakeholders </w:t>
      </w:r>
      <w:r w:rsidRPr="00612627">
        <w:rPr>
          <w:rFonts w:ascii="Verdana" w:hAnsi="Verdana"/>
        </w:rPr>
        <w:t xml:space="preserve">in South Africa for future </w:t>
      </w:r>
      <w:r w:rsidR="00BD3678" w:rsidRPr="00612627">
        <w:rPr>
          <w:rFonts w:ascii="Verdana" w:hAnsi="Verdana"/>
        </w:rPr>
        <w:t>long-term</w:t>
      </w:r>
      <w:r w:rsidRPr="00612627">
        <w:rPr>
          <w:rFonts w:ascii="Verdana" w:hAnsi="Verdana"/>
        </w:rPr>
        <w:t xml:space="preserve"> planning</w:t>
      </w:r>
      <w:r w:rsidR="00B92E22">
        <w:rPr>
          <w:rFonts w:ascii="Verdana" w:hAnsi="Verdana"/>
        </w:rPr>
        <w:t>.</w:t>
      </w:r>
      <w:r w:rsidRPr="00612627">
        <w:rPr>
          <w:rFonts w:ascii="Verdana" w:hAnsi="Verdana"/>
        </w:rPr>
        <w:t xml:space="preserve"> </w:t>
      </w:r>
    </w:p>
    <w:p w14:paraId="0288314D" w14:textId="77777777" w:rsidR="00B92E22" w:rsidRDefault="00B92E22" w:rsidP="00411DC7">
      <w:pPr>
        <w:pStyle w:val="ListParagraph"/>
        <w:spacing w:after="0" w:line="360" w:lineRule="auto"/>
        <w:ind w:left="709" w:right="0" w:firstLine="0"/>
        <w:rPr>
          <w:rFonts w:ascii="Verdana" w:hAnsi="Verdana"/>
        </w:rPr>
      </w:pPr>
    </w:p>
    <w:p w14:paraId="3DD80EB8" w14:textId="77777777" w:rsidR="005E26D2" w:rsidRPr="00612627" w:rsidRDefault="00B92E22" w:rsidP="00411DC7">
      <w:pPr>
        <w:pStyle w:val="ListParagraph"/>
        <w:spacing w:after="0" w:line="360" w:lineRule="auto"/>
        <w:ind w:left="709" w:right="0" w:firstLine="0"/>
        <w:rPr>
          <w:rFonts w:ascii="Verdana" w:hAnsi="Verdana"/>
        </w:rPr>
      </w:pPr>
      <w:r>
        <w:rPr>
          <w:rFonts w:ascii="Verdana" w:hAnsi="Verdana"/>
        </w:rPr>
        <w:t>The</w:t>
      </w:r>
      <w:r w:rsidR="001A7B83" w:rsidRPr="00612627">
        <w:rPr>
          <w:rFonts w:ascii="Verdana" w:hAnsi="Verdana"/>
        </w:rPr>
        <w:t xml:space="preserve"> </w:t>
      </w:r>
      <w:r w:rsidR="00BD3678" w:rsidRPr="00612627">
        <w:rPr>
          <w:rFonts w:ascii="Verdana" w:hAnsi="Verdana"/>
        </w:rPr>
        <w:t>Authority would</w:t>
      </w:r>
      <w:r w:rsidR="00111847" w:rsidRPr="00612627">
        <w:rPr>
          <w:rFonts w:ascii="Verdana" w:hAnsi="Verdana"/>
        </w:rPr>
        <w:t xml:space="preserve"> </w:t>
      </w:r>
      <w:r w:rsidR="001A7B83" w:rsidRPr="00612627">
        <w:rPr>
          <w:rFonts w:ascii="Verdana" w:hAnsi="Verdana"/>
        </w:rPr>
        <w:t xml:space="preserve">request </w:t>
      </w:r>
      <w:r w:rsidR="00111847" w:rsidRPr="00612627">
        <w:rPr>
          <w:rFonts w:ascii="Verdana" w:hAnsi="Verdana"/>
        </w:rPr>
        <w:t>stakeholders to include in their response which specific bands they feel should be combined and why.</w:t>
      </w:r>
    </w:p>
    <w:p w14:paraId="24B98815" w14:textId="77777777" w:rsidR="005E26D2" w:rsidRPr="00612627" w:rsidRDefault="005E26D2" w:rsidP="00612627">
      <w:pPr>
        <w:pStyle w:val="ListParagraph"/>
        <w:spacing w:after="0" w:line="360" w:lineRule="auto"/>
        <w:ind w:firstLine="0"/>
        <w:rPr>
          <w:rFonts w:ascii="Verdana" w:hAnsi="Verdana"/>
        </w:rPr>
      </w:pPr>
    </w:p>
    <w:p w14:paraId="7CA652EF" w14:textId="77777777" w:rsidR="0036477A" w:rsidRPr="00612627" w:rsidRDefault="0036477A" w:rsidP="00612627">
      <w:pPr>
        <w:pStyle w:val="ListParagraph"/>
        <w:numPr>
          <w:ilvl w:val="1"/>
          <w:numId w:val="3"/>
        </w:numPr>
        <w:spacing w:after="0" w:line="360" w:lineRule="auto"/>
        <w:ind w:left="720" w:hanging="720"/>
        <w:rPr>
          <w:rFonts w:ascii="Verdana" w:hAnsi="Verdana"/>
          <w:b/>
          <w:bCs/>
        </w:rPr>
      </w:pPr>
      <w:r w:rsidRPr="00612627">
        <w:rPr>
          <w:rFonts w:ascii="Verdana" w:hAnsi="Verdana"/>
          <w:b/>
          <w:bCs/>
        </w:rPr>
        <w:t xml:space="preserve">Question </w:t>
      </w:r>
      <w:r w:rsidR="00221CC4" w:rsidRPr="00612627">
        <w:rPr>
          <w:rFonts w:ascii="Verdana" w:hAnsi="Verdana"/>
          <w:b/>
          <w:bCs/>
        </w:rPr>
        <w:t>10</w:t>
      </w:r>
    </w:p>
    <w:p w14:paraId="13C89BB4" w14:textId="77777777" w:rsidR="00B92E22" w:rsidRDefault="0036477A" w:rsidP="00411DC7">
      <w:pPr>
        <w:pStyle w:val="ListParagraph"/>
        <w:spacing w:after="0" w:line="360" w:lineRule="auto"/>
        <w:ind w:left="709" w:right="0" w:firstLine="0"/>
        <w:rPr>
          <w:rFonts w:ascii="Verdana" w:hAnsi="Verdana"/>
        </w:rPr>
      </w:pPr>
      <w:r w:rsidRPr="00612627">
        <w:rPr>
          <w:rFonts w:ascii="Verdana" w:hAnsi="Verdana"/>
        </w:rPr>
        <w:t>Bands 9 to 12</w:t>
      </w:r>
      <w:r w:rsidR="00B92E22">
        <w:rPr>
          <w:rFonts w:ascii="Verdana" w:hAnsi="Verdana"/>
        </w:rPr>
        <w:t>,</w:t>
      </w:r>
      <w:r w:rsidRPr="00612627">
        <w:rPr>
          <w:rFonts w:ascii="Verdana" w:hAnsi="Verdana"/>
        </w:rPr>
        <w:t xml:space="preserve"> as contained in section 7 of the Implementation Plan</w:t>
      </w:r>
      <w:r w:rsidR="00B92E22">
        <w:rPr>
          <w:rFonts w:ascii="Verdana" w:hAnsi="Verdana"/>
        </w:rPr>
        <w:t>,</w:t>
      </w:r>
      <w:r w:rsidRPr="00612627">
        <w:rPr>
          <w:rFonts w:ascii="Verdana" w:hAnsi="Verdana"/>
        </w:rPr>
        <w:t xml:space="preserve"> relate to the frequency range 1350 – 1518 MHz. The ultimate IMT band is however limited to the band 1427-1518 MHz. </w:t>
      </w:r>
    </w:p>
    <w:p w14:paraId="120A0C0E" w14:textId="77777777" w:rsidR="00B92E22" w:rsidRDefault="00B92E22" w:rsidP="00411DC7">
      <w:pPr>
        <w:pStyle w:val="ListParagraph"/>
        <w:spacing w:after="0" w:line="360" w:lineRule="auto"/>
        <w:ind w:left="709" w:right="0" w:firstLine="0"/>
        <w:rPr>
          <w:rFonts w:ascii="Verdana" w:hAnsi="Verdana"/>
        </w:rPr>
      </w:pPr>
    </w:p>
    <w:p w14:paraId="267D2963" w14:textId="35B5DB6D" w:rsidR="00B92E22" w:rsidRDefault="0036477A" w:rsidP="00411DC7">
      <w:pPr>
        <w:pStyle w:val="ListParagraph"/>
        <w:spacing w:after="0" w:line="360" w:lineRule="auto"/>
        <w:ind w:left="709" w:right="0" w:firstLine="0"/>
        <w:rPr>
          <w:rFonts w:ascii="Verdana" w:hAnsi="Verdana"/>
        </w:rPr>
      </w:pPr>
      <w:r w:rsidRPr="00612627">
        <w:rPr>
          <w:rFonts w:ascii="Verdana" w:hAnsi="Verdana"/>
        </w:rPr>
        <w:t>Although the IMT band overlaps with the current PTP bands, Telkom recommends tha</w:t>
      </w:r>
      <w:r w:rsidR="00B92E22">
        <w:rPr>
          <w:rFonts w:ascii="Verdana" w:hAnsi="Verdana"/>
        </w:rPr>
        <w:t>t</w:t>
      </w:r>
      <w:r w:rsidRPr="00612627">
        <w:rPr>
          <w:rFonts w:ascii="Verdana" w:hAnsi="Verdana"/>
        </w:rPr>
        <w:t xml:space="preserve"> bands 11 and 12 be combined into one band namely the band 1427-1518 MHz, to deal specifically with the </w:t>
      </w:r>
      <w:r w:rsidR="003743D5" w:rsidRPr="00612627">
        <w:rPr>
          <w:rFonts w:ascii="Verdana" w:hAnsi="Verdana"/>
        </w:rPr>
        <w:t>interna</w:t>
      </w:r>
      <w:r w:rsidR="003743D5">
        <w:rPr>
          <w:rFonts w:ascii="Verdana" w:hAnsi="Verdana"/>
        </w:rPr>
        <w:t>tion</w:t>
      </w:r>
      <w:r w:rsidR="003743D5" w:rsidRPr="00612627">
        <w:rPr>
          <w:rFonts w:ascii="Verdana" w:hAnsi="Verdana"/>
        </w:rPr>
        <w:t>ally</w:t>
      </w:r>
      <w:r w:rsidRPr="00612627">
        <w:rPr>
          <w:rFonts w:ascii="Verdana" w:hAnsi="Verdana"/>
        </w:rPr>
        <w:t xml:space="preserve"> accepted IMT band. </w:t>
      </w:r>
    </w:p>
    <w:p w14:paraId="2AA98C90" w14:textId="77777777" w:rsidR="00B92E22" w:rsidRDefault="00B92E22" w:rsidP="00411DC7">
      <w:pPr>
        <w:pStyle w:val="ListParagraph"/>
        <w:spacing w:after="0" w:line="360" w:lineRule="auto"/>
        <w:ind w:left="709" w:right="0" w:firstLine="0"/>
        <w:rPr>
          <w:rFonts w:ascii="Verdana" w:hAnsi="Verdana"/>
        </w:rPr>
      </w:pPr>
    </w:p>
    <w:p w14:paraId="458242BC" w14:textId="77777777" w:rsidR="0036477A" w:rsidRPr="00612627" w:rsidRDefault="0036477A" w:rsidP="00411DC7">
      <w:pPr>
        <w:pStyle w:val="ListParagraph"/>
        <w:spacing w:after="0" w:line="360" w:lineRule="auto"/>
        <w:ind w:left="709" w:right="0" w:firstLine="0"/>
        <w:rPr>
          <w:rFonts w:ascii="Verdana" w:hAnsi="Verdana"/>
        </w:rPr>
      </w:pPr>
      <w:r w:rsidRPr="00612627">
        <w:rPr>
          <w:rFonts w:ascii="Verdana" w:hAnsi="Verdana"/>
        </w:rPr>
        <w:t>Telkom also recommends that some bands be split in the response</w:t>
      </w:r>
      <w:r w:rsidR="00B92E22">
        <w:rPr>
          <w:rFonts w:ascii="Verdana" w:hAnsi="Verdana"/>
        </w:rPr>
        <w:t>:</w:t>
      </w:r>
      <w:r w:rsidRPr="00612627">
        <w:rPr>
          <w:rFonts w:ascii="Verdana" w:hAnsi="Verdana"/>
        </w:rPr>
        <w:t xml:space="preserve"> for example</w:t>
      </w:r>
      <w:r w:rsidR="00B92E22">
        <w:rPr>
          <w:rFonts w:ascii="Verdana" w:hAnsi="Verdana"/>
        </w:rPr>
        <w:t>,</w:t>
      </w:r>
      <w:r w:rsidRPr="00612627">
        <w:rPr>
          <w:rFonts w:ascii="Verdana" w:hAnsi="Verdana"/>
        </w:rPr>
        <w:t xml:space="preserve"> band 14 could be split into the bands the MSS bands (1980-2010 MHz paired with 2170-2200 MHz as Band 14a and the band 2010-2025 MHz as band 14b.</w:t>
      </w:r>
    </w:p>
    <w:p w14:paraId="3146F8A5" w14:textId="77777777" w:rsidR="0036477A" w:rsidRPr="00612627" w:rsidRDefault="0036477A" w:rsidP="00411DC7">
      <w:pPr>
        <w:pStyle w:val="ListParagraph"/>
        <w:spacing w:after="0" w:line="360" w:lineRule="auto"/>
        <w:ind w:left="709" w:right="0" w:firstLine="0"/>
        <w:rPr>
          <w:rFonts w:ascii="Verdana" w:hAnsi="Verdana"/>
        </w:rPr>
      </w:pPr>
      <w:r w:rsidRPr="00612627">
        <w:rPr>
          <w:rFonts w:ascii="Verdana" w:hAnsi="Verdana"/>
        </w:rPr>
        <w:t xml:space="preserve">Will it be acceptable to the Authority if the table in the written submission is amended </w:t>
      </w:r>
      <w:bookmarkStart w:id="16" w:name="_Hlk86255023"/>
      <w:r w:rsidRPr="00612627">
        <w:rPr>
          <w:rFonts w:ascii="Verdana" w:hAnsi="Verdana"/>
        </w:rPr>
        <w:t>to reflect these band</w:t>
      </w:r>
      <w:r w:rsidR="00B92E22">
        <w:rPr>
          <w:rFonts w:ascii="Verdana" w:hAnsi="Verdana"/>
        </w:rPr>
        <w:t>-</w:t>
      </w:r>
      <w:r w:rsidRPr="00612627">
        <w:rPr>
          <w:rFonts w:ascii="Verdana" w:hAnsi="Verdana"/>
        </w:rPr>
        <w:t xml:space="preserve"> specific issues</w:t>
      </w:r>
      <w:bookmarkEnd w:id="16"/>
      <w:r w:rsidRPr="00612627">
        <w:rPr>
          <w:rFonts w:ascii="Verdana" w:hAnsi="Verdana"/>
        </w:rPr>
        <w:t>?</w:t>
      </w:r>
    </w:p>
    <w:p w14:paraId="0ABD9D53" w14:textId="77777777" w:rsidR="00A74F04" w:rsidRPr="00612627" w:rsidRDefault="00A74F04" w:rsidP="00612627">
      <w:pPr>
        <w:pStyle w:val="ListParagraph"/>
        <w:spacing w:line="360" w:lineRule="auto"/>
        <w:ind w:firstLine="0"/>
        <w:rPr>
          <w:rFonts w:ascii="Verdana" w:hAnsi="Verdana"/>
        </w:rPr>
      </w:pPr>
    </w:p>
    <w:p w14:paraId="2749224A" w14:textId="77777777" w:rsidR="00A74F04" w:rsidRPr="00612627" w:rsidRDefault="00A74F04" w:rsidP="00612627">
      <w:pPr>
        <w:pStyle w:val="ListParagraph"/>
        <w:spacing w:line="360" w:lineRule="auto"/>
        <w:ind w:firstLine="0"/>
        <w:rPr>
          <w:rFonts w:ascii="Verdana" w:hAnsi="Verdana"/>
        </w:rPr>
      </w:pPr>
      <w:bookmarkStart w:id="17" w:name="_Hlk86132137"/>
      <w:r w:rsidRPr="00612627">
        <w:rPr>
          <w:rFonts w:ascii="Verdana" w:hAnsi="Verdana"/>
          <w:b/>
          <w:bCs/>
        </w:rPr>
        <w:t>Authority’s response:</w:t>
      </w:r>
    </w:p>
    <w:bookmarkEnd w:id="17"/>
    <w:p w14:paraId="3BB54002" w14:textId="77777777" w:rsidR="0036477A" w:rsidRPr="00612627" w:rsidRDefault="00111847" w:rsidP="00411DC7">
      <w:pPr>
        <w:pStyle w:val="ListParagraph"/>
        <w:spacing w:after="0" w:line="360" w:lineRule="auto"/>
        <w:ind w:left="709" w:right="0" w:firstLine="0"/>
        <w:rPr>
          <w:rFonts w:ascii="Verdana" w:hAnsi="Verdana"/>
        </w:rPr>
      </w:pPr>
      <w:r w:rsidRPr="00612627">
        <w:rPr>
          <w:rFonts w:ascii="Verdana" w:hAnsi="Verdana"/>
        </w:rPr>
        <w:lastRenderedPageBreak/>
        <w:t xml:space="preserve">Respondents to the </w:t>
      </w:r>
      <w:r w:rsidR="00B92E22">
        <w:rPr>
          <w:rFonts w:ascii="Verdana" w:hAnsi="Verdana"/>
        </w:rPr>
        <w:t>I</w:t>
      </w:r>
      <w:r w:rsidRPr="00612627">
        <w:rPr>
          <w:rFonts w:ascii="Verdana" w:hAnsi="Verdana"/>
        </w:rPr>
        <w:t>nquiry who feel there are band specific issues should provide feedback within the table as it is set out</w:t>
      </w:r>
      <w:r w:rsidR="00B92E22">
        <w:rPr>
          <w:rFonts w:ascii="Verdana" w:hAnsi="Verdana"/>
        </w:rPr>
        <w:t>,</w:t>
      </w:r>
      <w:r w:rsidR="001A7B83" w:rsidRPr="00612627">
        <w:rPr>
          <w:rFonts w:ascii="Verdana" w:hAnsi="Verdana"/>
        </w:rPr>
        <w:t xml:space="preserve"> and they may amend the table to reflect these band specific issues.</w:t>
      </w:r>
      <w:r w:rsidRPr="00612627">
        <w:rPr>
          <w:rFonts w:ascii="Verdana" w:hAnsi="Verdana"/>
        </w:rPr>
        <w:t xml:space="preserve"> </w:t>
      </w:r>
    </w:p>
    <w:p w14:paraId="33655F60" w14:textId="77777777" w:rsidR="00111847" w:rsidRPr="00612627" w:rsidRDefault="00111847" w:rsidP="00612627">
      <w:pPr>
        <w:pStyle w:val="ListParagraph"/>
        <w:spacing w:line="360" w:lineRule="auto"/>
        <w:ind w:firstLine="0"/>
        <w:rPr>
          <w:rFonts w:ascii="Verdana" w:hAnsi="Verdana"/>
        </w:rPr>
      </w:pPr>
    </w:p>
    <w:p w14:paraId="5308A6C3" w14:textId="77777777" w:rsidR="0036477A" w:rsidRPr="00612627" w:rsidRDefault="0036477A" w:rsidP="00612627">
      <w:pPr>
        <w:pStyle w:val="ListParagraph"/>
        <w:numPr>
          <w:ilvl w:val="1"/>
          <w:numId w:val="3"/>
        </w:numPr>
        <w:spacing w:after="0" w:line="360" w:lineRule="auto"/>
        <w:ind w:left="720" w:hanging="720"/>
        <w:rPr>
          <w:rFonts w:ascii="Verdana" w:hAnsi="Verdana"/>
          <w:b/>
          <w:bCs/>
        </w:rPr>
      </w:pPr>
      <w:r w:rsidRPr="00612627">
        <w:rPr>
          <w:rFonts w:ascii="Verdana" w:hAnsi="Verdana"/>
          <w:b/>
          <w:bCs/>
        </w:rPr>
        <w:t xml:space="preserve">Question </w:t>
      </w:r>
      <w:r w:rsidR="00221CC4" w:rsidRPr="00612627">
        <w:rPr>
          <w:rFonts w:ascii="Verdana" w:hAnsi="Verdana"/>
          <w:b/>
          <w:bCs/>
        </w:rPr>
        <w:t>11</w:t>
      </w:r>
    </w:p>
    <w:p w14:paraId="0DF26C39" w14:textId="77777777" w:rsidR="0036477A" w:rsidRPr="00612627" w:rsidRDefault="0036477A" w:rsidP="00411DC7">
      <w:pPr>
        <w:pStyle w:val="ListParagraph"/>
        <w:spacing w:after="0" w:line="360" w:lineRule="auto"/>
        <w:ind w:left="709" w:right="0" w:firstLine="0"/>
        <w:rPr>
          <w:rFonts w:ascii="Verdana" w:hAnsi="Verdana"/>
        </w:rPr>
      </w:pPr>
      <w:r w:rsidRPr="00612627">
        <w:rPr>
          <w:rFonts w:ascii="Verdana" w:hAnsi="Verdana"/>
        </w:rPr>
        <w:t>Band 43 (</w:t>
      </w:r>
      <w:r w:rsidR="00D1539C" w:rsidRPr="00612627">
        <w:rPr>
          <w:rFonts w:ascii="Verdana" w:hAnsi="Verdana"/>
        </w:rPr>
        <w:t>i.e.</w:t>
      </w:r>
      <w:r w:rsidR="00B92E22">
        <w:rPr>
          <w:rFonts w:ascii="Verdana" w:hAnsi="Verdana"/>
        </w:rPr>
        <w:t>,</w:t>
      </w:r>
      <w:r w:rsidRPr="00612627">
        <w:rPr>
          <w:rFonts w:ascii="Verdana" w:hAnsi="Verdana"/>
        </w:rPr>
        <w:t xml:space="preserve"> 825</w:t>
      </w:r>
      <w:r w:rsidR="00B92E22">
        <w:rPr>
          <w:rFonts w:ascii="Verdana" w:hAnsi="Verdana"/>
        </w:rPr>
        <w:t>-</w:t>
      </w:r>
      <w:r w:rsidRPr="00612627">
        <w:rPr>
          <w:rFonts w:ascii="Verdana" w:hAnsi="Verdana"/>
        </w:rPr>
        <w:t>830 MHz and 870-875 MHz) listed in section 8 of the Implementation Plan has been identified for IMT in the relevant Radio Frequency Spectrum Assignment Plan. Should this band therefore not be listed in section 7 (</w:t>
      </w:r>
      <w:r w:rsidR="00D1539C" w:rsidRPr="00612627">
        <w:rPr>
          <w:rFonts w:ascii="Verdana" w:hAnsi="Verdana"/>
        </w:rPr>
        <w:t>i.e.,</w:t>
      </w:r>
      <w:r w:rsidRPr="00612627">
        <w:rPr>
          <w:rFonts w:ascii="Verdana" w:hAnsi="Verdana"/>
        </w:rPr>
        <w:t xml:space="preserve"> IMT bands)?</w:t>
      </w:r>
    </w:p>
    <w:p w14:paraId="282E70F8" w14:textId="77777777" w:rsidR="00A74F04" w:rsidRPr="00612627" w:rsidRDefault="00A74F04" w:rsidP="00612627">
      <w:pPr>
        <w:pStyle w:val="ListParagraph"/>
        <w:spacing w:after="0" w:line="360" w:lineRule="auto"/>
        <w:ind w:firstLine="0"/>
        <w:rPr>
          <w:rFonts w:ascii="Verdana" w:hAnsi="Verdana"/>
        </w:rPr>
      </w:pPr>
    </w:p>
    <w:p w14:paraId="18B09EA8" w14:textId="77777777" w:rsidR="00A74F04" w:rsidRPr="00612627" w:rsidRDefault="00A74F04" w:rsidP="00612627">
      <w:pPr>
        <w:pStyle w:val="ListParagraph"/>
        <w:spacing w:after="0" w:line="360" w:lineRule="auto"/>
        <w:ind w:firstLine="0"/>
        <w:rPr>
          <w:rFonts w:ascii="Verdana" w:hAnsi="Verdana"/>
        </w:rPr>
      </w:pPr>
      <w:r w:rsidRPr="00612627">
        <w:rPr>
          <w:rFonts w:ascii="Verdana" w:hAnsi="Verdana"/>
          <w:b/>
          <w:bCs/>
        </w:rPr>
        <w:t>Authority’s response:</w:t>
      </w:r>
    </w:p>
    <w:p w14:paraId="4AC34E39" w14:textId="77777777" w:rsidR="0036477A" w:rsidRPr="00612627" w:rsidRDefault="00111847" w:rsidP="00411DC7">
      <w:pPr>
        <w:pStyle w:val="ListParagraph"/>
        <w:spacing w:after="0" w:line="360" w:lineRule="auto"/>
        <w:ind w:left="709" w:right="0" w:firstLine="0"/>
        <w:rPr>
          <w:rFonts w:ascii="Verdana" w:hAnsi="Verdana"/>
        </w:rPr>
      </w:pPr>
      <w:r w:rsidRPr="00612627">
        <w:rPr>
          <w:rFonts w:ascii="Verdana" w:hAnsi="Verdana"/>
        </w:rPr>
        <w:t xml:space="preserve">Question 9 in the Inquiry asks respondents to detail frequency bands that are not detailed in Question 7 or Question 8 and why they need to be considered. </w:t>
      </w:r>
      <w:bookmarkStart w:id="18" w:name="_Hlk86255187"/>
      <w:r w:rsidR="00800A44" w:rsidRPr="00612627">
        <w:rPr>
          <w:rFonts w:ascii="Verdana" w:hAnsi="Verdana"/>
        </w:rPr>
        <w:t>Stakeholders may make proposals in the table where the band is to be situated.</w:t>
      </w:r>
      <w:bookmarkEnd w:id="18"/>
    </w:p>
    <w:p w14:paraId="419CCD94" w14:textId="77777777" w:rsidR="00111847" w:rsidRPr="00612627" w:rsidRDefault="00111847" w:rsidP="00612627">
      <w:pPr>
        <w:spacing w:after="0" w:line="360" w:lineRule="auto"/>
        <w:ind w:left="0" w:firstLine="0"/>
        <w:rPr>
          <w:rFonts w:ascii="Verdana" w:hAnsi="Verdana"/>
        </w:rPr>
      </w:pPr>
    </w:p>
    <w:p w14:paraId="37877DAF" w14:textId="77777777" w:rsidR="00221CC4" w:rsidRPr="00612627" w:rsidRDefault="0036477A" w:rsidP="00612627">
      <w:pPr>
        <w:pStyle w:val="ListParagraph"/>
        <w:numPr>
          <w:ilvl w:val="1"/>
          <w:numId w:val="3"/>
        </w:numPr>
        <w:spacing w:after="0" w:line="360" w:lineRule="auto"/>
        <w:ind w:left="720" w:hanging="720"/>
        <w:rPr>
          <w:rFonts w:ascii="Verdana" w:hAnsi="Verdana"/>
          <w:b/>
          <w:bCs/>
        </w:rPr>
      </w:pPr>
      <w:r w:rsidRPr="00612627">
        <w:rPr>
          <w:rFonts w:ascii="Verdana" w:hAnsi="Verdana"/>
          <w:b/>
          <w:bCs/>
        </w:rPr>
        <w:t xml:space="preserve">Question </w:t>
      </w:r>
      <w:r w:rsidR="00221CC4" w:rsidRPr="00612627">
        <w:rPr>
          <w:rFonts w:ascii="Verdana" w:hAnsi="Verdana"/>
          <w:b/>
          <w:bCs/>
        </w:rPr>
        <w:t>12</w:t>
      </w:r>
    </w:p>
    <w:p w14:paraId="63ED7106" w14:textId="77777777" w:rsidR="0036477A" w:rsidRPr="00612627" w:rsidRDefault="0036477A" w:rsidP="00411DC7">
      <w:pPr>
        <w:pStyle w:val="ListParagraph"/>
        <w:spacing w:after="0" w:line="360" w:lineRule="auto"/>
        <w:ind w:left="709" w:right="0" w:firstLine="0"/>
        <w:rPr>
          <w:rFonts w:ascii="Verdana" w:hAnsi="Verdana"/>
        </w:rPr>
      </w:pPr>
      <w:r w:rsidRPr="00612627">
        <w:rPr>
          <w:rFonts w:ascii="Verdana" w:hAnsi="Verdana"/>
        </w:rPr>
        <w:t xml:space="preserve">In section 9, the Authority requests identification of “other IMT bands”. It is noted that some existing IMT frequency bands are not listed </w:t>
      </w:r>
      <w:r w:rsidR="00910FF7">
        <w:rPr>
          <w:rFonts w:ascii="Verdana" w:hAnsi="Verdana"/>
        </w:rPr>
        <w:t>(</w:t>
      </w:r>
      <w:r w:rsidR="00D1539C" w:rsidRPr="00612627">
        <w:rPr>
          <w:rFonts w:ascii="Verdana" w:hAnsi="Verdana"/>
        </w:rPr>
        <w:t>e.g.,</w:t>
      </w:r>
      <w:r w:rsidRPr="00612627">
        <w:rPr>
          <w:rFonts w:ascii="Verdana" w:hAnsi="Verdana"/>
        </w:rPr>
        <w:t xml:space="preserve"> IMT1800</w:t>
      </w:r>
      <w:r w:rsidR="00910FF7">
        <w:rPr>
          <w:rFonts w:ascii="Verdana" w:hAnsi="Verdana"/>
        </w:rPr>
        <w:t>)</w:t>
      </w:r>
      <w:r w:rsidRPr="00612627">
        <w:rPr>
          <w:rFonts w:ascii="Verdana" w:hAnsi="Verdana"/>
        </w:rPr>
        <w:t>. Is the intention that these bands be listed as “other IMT bands” or has this band be excluded because the band is not considered for migration?</w:t>
      </w:r>
    </w:p>
    <w:p w14:paraId="2715D3D7" w14:textId="77777777" w:rsidR="00A74F04" w:rsidRPr="00612627" w:rsidRDefault="00A74F04" w:rsidP="00612627">
      <w:pPr>
        <w:pStyle w:val="ListParagraph"/>
        <w:spacing w:after="0" w:line="360" w:lineRule="auto"/>
        <w:ind w:firstLine="0"/>
        <w:rPr>
          <w:rFonts w:ascii="Verdana" w:hAnsi="Verdana"/>
        </w:rPr>
      </w:pPr>
    </w:p>
    <w:p w14:paraId="0B6C9EB9" w14:textId="77777777" w:rsidR="00A74F04" w:rsidRPr="00612627" w:rsidRDefault="00A74F04" w:rsidP="00612627">
      <w:pPr>
        <w:pStyle w:val="ListParagraph"/>
        <w:spacing w:after="0" w:line="360" w:lineRule="auto"/>
        <w:ind w:firstLine="0"/>
        <w:rPr>
          <w:rFonts w:ascii="Verdana" w:hAnsi="Verdana"/>
        </w:rPr>
      </w:pPr>
      <w:r w:rsidRPr="00612627">
        <w:rPr>
          <w:rFonts w:ascii="Verdana" w:hAnsi="Verdana"/>
          <w:b/>
          <w:bCs/>
        </w:rPr>
        <w:t>Authority’s response:</w:t>
      </w:r>
    </w:p>
    <w:p w14:paraId="6111DAD9" w14:textId="77777777" w:rsidR="00111847" w:rsidRPr="00612627" w:rsidRDefault="00111847" w:rsidP="00411DC7">
      <w:pPr>
        <w:pStyle w:val="ListParagraph"/>
        <w:spacing w:after="0" w:line="360" w:lineRule="auto"/>
        <w:ind w:left="709" w:right="0" w:firstLine="0"/>
        <w:rPr>
          <w:rFonts w:ascii="Verdana" w:hAnsi="Verdana"/>
        </w:rPr>
      </w:pPr>
      <w:r w:rsidRPr="00612627">
        <w:rPr>
          <w:rFonts w:ascii="Verdana" w:hAnsi="Verdana"/>
        </w:rPr>
        <w:t>Question 9 should be used to detail frequency bands that are not detailed in Question 7 or Question 8</w:t>
      </w:r>
      <w:r w:rsidR="00910FF7">
        <w:rPr>
          <w:rFonts w:ascii="Verdana" w:hAnsi="Verdana"/>
        </w:rPr>
        <w:t>,</w:t>
      </w:r>
      <w:r w:rsidRPr="00612627">
        <w:rPr>
          <w:rFonts w:ascii="Verdana" w:hAnsi="Verdana"/>
        </w:rPr>
        <w:t xml:space="preserve"> and </w:t>
      </w:r>
      <w:r w:rsidR="00910FF7">
        <w:rPr>
          <w:rFonts w:ascii="Verdana" w:hAnsi="Verdana"/>
        </w:rPr>
        <w:t xml:space="preserve">to motivate </w:t>
      </w:r>
      <w:r w:rsidRPr="00612627">
        <w:rPr>
          <w:rFonts w:ascii="Verdana" w:hAnsi="Verdana"/>
        </w:rPr>
        <w:t>why they need to be considered.</w:t>
      </w:r>
      <w:r w:rsidR="00800A44" w:rsidRPr="00612627">
        <w:rPr>
          <w:rFonts w:ascii="Verdana" w:hAnsi="Verdana"/>
        </w:rPr>
        <w:t xml:space="preserve"> Stakeholders may make proposals in the table where the band is to be situated.</w:t>
      </w:r>
      <w:r w:rsidRPr="00612627">
        <w:rPr>
          <w:rFonts w:ascii="Verdana" w:hAnsi="Verdana"/>
        </w:rPr>
        <w:t xml:space="preserve"> </w:t>
      </w:r>
    </w:p>
    <w:p w14:paraId="0505A727" w14:textId="77777777" w:rsidR="00111847" w:rsidRPr="00612627" w:rsidRDefault="00111847" w:rsidP="00612627">
      <w:pPr>
        <w:spacing w:after="0" w:line="360" w:lineRule="auto"/>
        <w:ind w:left="0" w:firstLine="0"/>
        <w:rPr>
          <w:rFonts w:ascii="Verdana" w:hAnsi="Verdana"/>
        </w:rPr>
      </w:pPr>
    </w:p>
    <w:p w14:paraId="44EA415C" w14:textId="77777777" w:rsidR="0036477A" w:rsidRPr="00612627" w:rsidRDefault="0036477A" w:rsidP="00612627">
      <w:pPr>
        <w:pStyle w:val="ListParagraph"/>
        <w:numPr>
          <w:ilvl w:val="1"/>
          <w:numId w:val="3"/>
        </w:numPr>
        <w:spacing w:after="0" w:line="360" w:lineRule="auto"/>
        <w:ind w:left="720" w:hanging="720"/>
        <w:rPr>
          <w:rFonts w:ascii="Verdana" w:hAnsi="Verdana"/>
          <w:b/>
          <w:bCs/>
        </w:rPr>
      </w:pPr>
      <w:bookmarkStart w:id="19" w:name="_Hlk86132476"/>
      <w:r w:rsidRPr="00612627">
        <w:rPr>
          <w:rFonts w:ascii="Verdana" w:hAnsi="Verdana"/>
          <w:b/>
          <w:bCs/>
        </w:rPr>
        <w:t xml:space="preserve">Question </w:t>
      </w:r>
      <w:r w:rsidR="00221CC4" w:rsidRPr="00612627">
        <w:rPr>
          <w:rFonts w:ascii="Verdana" w:hAnsi="Verdana"/>
          <w:b/>
          <w:bCs/>
        </w:rPr>
        <w:t>13</w:t>
      </w:r>
    </w:p>
    <w:bookmarkEnd w:id="19"/>
    <w:p w14:paraId="69DA371E" w14:textId="77777777" w:rsidR="0036477A" w:rsidRPr="00612627" w:rsidRDefault="0036477A" w:rsidP="00411DC7">
      <w:pPr>
        <w:pStyle w:val="ListParagraph"/>
        <w:spacing w:after="0" w:line="360" w:lineRule="auto"/>
        <w:ind w:left="709" w:right="0" w:firstLine="0"/>
        <w:rPr>
          <w:rFonts w:ascii="Verdana" w:hAnsi="Verdana"/>
        </w:rPr>
      </w:pPr>
      <w:r w:rsidRPr="00612627">
        <w:rPr>
          <w:rFonts w:ascii="Verdana" w:hAnsi="Verdana"/>
        </w:rPr>
        <w:t xml:space="preserve">Section 10.1 lists frequency bands </w:t>
      </w:r>
      <w:r w:rsidRPr="00910FF7">
        <w:rPr>
          <w:rFonts w:ascii="Verdana" w:hAnsi="Verdana"/>
        </w:rPr>
        <w:t>that “</w:t>
      </w:r>
      <w:r w:rsidRPr="00910FF7">
        <w:rPr>
          <w:rFonts w:ascii="Verdana" w:hAnsi="Verdana"/>
          <w:iCs/>
        </w:rPr>
        <w:t>may be considered for IMT services</w:t>
      </w:r>
      <w:r w:rsidRPr="00612627">
        <w:rPr>
          <w:rFonts w:ascii="Verdana" w:hAnsi="Verdana"/>
        </w:rPr>
        <w:t>”. These are all bands that could be considered for IMT</w:t>
      </w:r>
      <w:r w:rsidR="00910FF7">
        <w:rPr>
          <w:rFonts w:ascii="Verdana" w:hAnsi="Verdana"/>
        </w:rPr>
        <w:t xml:space="preserve">: </w:t>
      </w:r>
      <w:r w:rsidRPr="00612627">
        <w:rPr>
          <w:rFonts w:ascii="Verdana" w:hAnsi="Verdana"/>
        </w:rPr>
        <w:t>for example</w:t>
      </w:r>
      <w:r w:rsidR="00910FF7">
        <w:rPr>
          <w:rFonts w:ascii="Verdana" w:hAnsi="Verdana"/>
        </w:rPr>
        <w:t>,</w:t>
      </w:r>
      <w:r w:rsidRPr="00612627">
        <w:rPr>
          <w:rFonts w:ascii="Verdana" w:hAnsi="Verdana"/>
        </w:rPr>
        <w:t xml:space="preserve"> the mmWave bands identified at WRC-19. However, the 2300-2400 MHz band is included</w:t>
      </w:r>
      <w:r w:rsidR="00910FF7">
        <w:rPr>
          <w:rFonts w:ascii="Verdana" w:hAnsi="Verdana"/>
        </w:rPr>
        <w:t>,</w:t>
      </w:r>
      <w:r w:rsidRPr="00612627">
        <w:rPr>
          <w:rFonts w:ascii="Verdana" w:hAnsi="Verdana"/>
        </w:rPr>
        <w:t xml:space="preserve"> although this band is already an IMT band as per the National Table of Frequency Allocations. A Radio Frequency Spectrum Assignment Plan for the IMT2300 band has also been prescribed (although it may have to be updated). Can the Authority please clarify why this band is included in the list of 14 bands?</w:t>
      </w:r>
    </w:p>
    <w:p w14:paraId="73816BC9" w14:textId="77777777" w:rsidR="00A74F04" w:rsidRPr="00612627" w:rsidRDefault="00A74F04" w:rsidP="00612627">
      <w:pPr>
        <w:pStyle w:val="ListParagraph"/>
        <w:spacing w:after="0" w:line="360" w:lineRule="auto"/>
        <w:ind w:firstLine="0"/>
        <w:rPr>
          <w:rFonts w:ascii="Verdana" w:hAnsi="Verdana"/>
        </w:rPr>
      </w:pPr>
    </w:p>
    <w:p w14:paraId="471101D1" w14:textId="77777777" w:rsidR="00A74F04" w:rsidRPr="00612627" w:rsidRDefault="00A74F04" w:rsidP="00612627">
      <w:pPr>
        <w:pStyle w:val="ListParagraph"/>
        <w:spacing w:after="0" w:line="360" w:lineRule="auto"/>
        <w:ind w:firstLine="0"/>
        <w:rPr>
          <w:rFonts w:ascii="Verdana" w:hAnsi="Verdana"/>
        </w:rPr>
      </w:pPr>
      <w:bookmarkStart w:id="20" w:name="_Hlk86132264"/>
      <w:r w:rsidRPr="00612627">
        <w:rPr>
          <w:rFonts w:ascii="Verdana" w:hAnsi="Verdana"/>
          <w:b/>
          <w:bCs/>
        </w:rPr>
        <w:lastRenderedPageBreak/>
        <w:t>Authority’s response:</w:t>
      </w:r>
    </w:p>
    <w:bookmarkEnd w:id="20"/>
    <w:p w14:paraId="727F9C3E" w14:textId="77777777" w:rsidR="0036477A" w:rsidRPr="00612627" w:rsidRDefault="00111847" w:rsidP="00411DC7">
      <w:pPr>
        <w:pStyle w:val="ListParagraph"/>
        <w:spacing w:after="0" w:line="360" w:lineRule="auto"/>
        <w:ind w:left="709" w:right="0" w:firstLine="0"/>
        <w:rPr>
          <w:rFonts w:ascii="Verdana" w:hAnsi="Verdana"/>
        </w:rPr>
      </w:pPr>
      <w:r w:rsidRPr="00612627">
        <w:rPr>
          <w:rFonts w:ascii="Verdana" w:hAnsi="Verdana"/>
        </w:rPr>
        <w:t xml:space="preserve">The Inquiry </w:t>
      </w:r>
      <w:r w:rsidR="00910FF7">
        <w:rPr>
          <w:rFonts w:ascii="Verdana" w:hAnsi="Verdana"/>
        </w:rPr>
        <w:t>Q</w:t>
      </w:r>
      <w:r w:rsidRPr="00612627">
        <w:rPr>
          <w:rFonts w:ascii="Verdana" w:hAnsi="Verdana"/>
        </w:rPr>
        <w:t xml:space="preserve">uestionnaire allows respondents to provide feedback on the bands listed as ‘may be considered’ in section 10.1. </w:t>
      </w:r>
      <w:r w:rsidR="00800A44" w:rsidRPr="00612627">
        <w:rPr>
          <w:rFonts w:ascii="Verdana" w:hAnsi="Verdana"/>
        </w:rPr>
        <w:t>Stakeholders may make proposals in the table where the band is to be situated.</w:t>
      </w:r>
    </w:p>
    <w:p w14:paraId="2499F741" w14:textId="77777777" w:rsidR="00B80E62" w:rsidRDefault="00B80E62" w:rsidP="00612627">
      <w:pPr>
        <w:pStyle w:val="ListParagraph"/>
        <w:spacing w:after="0" w:line="360" w:lineRule="auto"/>
        <w:ind w:firstLine="0"/>
        <w:rPr>
          <w:rFonts w:ascii="Verdana" w:hAnsi="Verdana"/>
        </w:rPr>
      </w:pPr>
    </w:p>
    <w:p w14:paraId="45925A27" w14:textId="77777777" w:rsidR="00221CC4" w:rsidRPr="00612627" w:rsidRDefault="00221CC4" w:rsidP="00612627">
      <w:pPr>
        <w:pStyle w:val="ListParagraph"/>
        <w:numPr>
          <w:ilvl w:val="1"/>
          <w:numId w:val="3"/>
        </w:numPr>
        <w:spacing w:after="0" w:line="360" w:lineRule="auto"/>
        <w:rPr>
          <w:rFonts w:ascii="Verdana" w:hAnsi="Verdana"/>
          <w:b/>
          <w:bCs/>
        </w:rPr>
      </w:pPr>
      <w:r w:rsidRPr="00612627">
        <w:rPr>
          <w:rFonts w:ascii="Verdana" w:hAnsi="Verdana"/>
          <w:b/>
          <w:bCs/>
        </w:rPr>
        <w:t>Question 14</w:t>
      </w:r>
    </w:p>
    <w:p w14:paraId="1A997132" w14:textId="77777777" w:rsidR="00AA0D94" w:rsidRPr="00612627" w:rsidRDefault="00AA0D94" w:rsidP="00612627">
      <w:pPr>
        <w:pStyle w:val="Heading1"/>
        <w:pBdr>
          <w:top w:val="none" w:sz="0" w:space="0" w:color="auto"/>
          <w:left w:val="none" w:sz="0" w:space="0" w:color="auto"/>
          <w:bottom w:val="none" w:sz="0" w:space="0" w:color="auto"/>
          <w:right w:val="none" w:sz="0" w:space="0" w:color="auto"/>
        </w:pBdr>
        <w:shd w:val="clear" w:color="auto" w:fill="auto"/>
        <w:spacing w:before="120" w:after="120" w:line="360" w:lineRule="auto"/>
        <w:ind w:left="786" w:firstLine="0"/>
        <w:jc w:val="both"/>
        <w:rPr>
          <w:rFonts w:ascii="Verdana" w:hAnsi="Verdana"/>
          <w:b w:val="0"/>
          <w:color w:val="auto"/>
          <w:lang w:val="en-GB"/>
        </w:rPr>
      </w:pPr>
      <w:bookmarkStart w:id="21" w:name="_Toc85184718"/>
      <w:r w:rsidRPr="00612627">
        <w:rPr>
          <w:rFonts w:ascii="Verdana" w:hAnsi="Verdana"/>
          <w:color w:val="auto"/>
          <w:lang w:val="en-GB"/>
        </w:rPr>
        <w:t>Inquiry Section: Category 2 Bands</w:t>
      </w:r>
      <w:bookmarkEnd w:id="21"/>
    </w:p>
    <w:p w14:paraId="0B985BA4" w14:textId="77777777" w:rsidR="00AA0D94" w:rsidRPr="00612627" w:rsidRDefault="00AA0D94" w:rsidP="00612627">
      <w:pPr>
        <w:spacing w:line="360" w:lineRule="auto"/>
        <w:ind w:left="796"/>
        <w:rPr>
          <w:rFonts w:ascii="Verdana" w:hAnsi="Verdana"/>
        </w:rPr>
      </w:pPr>
      <w:r w:rsidRPr="00612627">
        <w:rPr>
          <w:rFonts w:ascii="Verdana" w:hAnsi="Verdana"/>
        </w:rPr>
        <w:t xml:space="preserve">SENTECH has noted with concern that the Authority has listed bands to be “considered for IMT services”, without listing “alternative bands” for current users. To empower current users to provide </w:t>
      </w:r>
      <w:r w:rsidR="00D1539C" w:rsidRPr="00612627">
        <w:rPr>
          <w:rFonts w:ascii="Verdana" w:hAnsi="Verdana"/>
        </w:rPr>
        <w:t>substantive</w:t>
      </w:r>
      <w:r w:rsidRPr="00612627">
        <w:rPr>
          <w:rFonts w:ascii="Verdana" w:hAnsi="Verdana"/>
        </w:rPr>
        <w:t xml:space="preserve">, relevant and pertinent information on section 11, the Authority must provide information on “alternative bands” for current users. The Inquiry is currently unevenly balanced for the benefit of terrestrial IMT at the unfair expense of current services. </w:t>
      </w:r>
    </w:p>
    <w:p w14:paraId="6F005933" w14:textId="77777777" w:rsidR="00AA0D94" w:rsidRPr="00612627" w:rsidRDefault="00AA0D94" w:rsidP="00612627">
      <w:pPr>
        <w:spacing w:line="360" w:lineRule="auto"/>
        <w:ind w:left="796"/>
        <w:rPr>
          <w:rFonts w:ascii="Verdana" w:hAnsi="Verdana"/>
        </w:rPr>
      </w:pPr>
      <w:r w:rsidRPr="00612627">
        <w:rPr>
          <w:rFonts w:ascii="Verdana" w:hAnsi="Verdana"/>
        </w:rPr>
        <w:t xml:space="preserve">SENTECH seeks clarity from the Authority on what is meant by “services that facilitate access to broadband services”? Some of the bands in section 10.2 of the Inquiry have been identified for mobile allocation and IMT identification at WRC-19. The Minister is yet to approve the Draft National Radio Frequency Plan 2021 </w:t>
      </w:r>
      <w:proofErr w:type="gramStart"/>
      <w:r w:rsidRPr="00612627">
        <w:rPr>
          <w:rFonts w:ascii="Verdana" w:hAnsi="Verdana"/>
        </w:rPr>
        <w:t>and also</w:t>
      </w:r>
      <w:proofErr w:type="gramEnd"/>
      <w:r w:rsidRPr="00612627">
        <w:rPr>
          <w:rFonts w:ascii="Verdana" w:hAnsi="Verdana"/>
        </w:rPr>
        <w:t xml:space="preserve"> publish Policy on 5G for public comment. What principles were considered by the Authority is determining table in section 10.2 as likely possible bands to migrate some of the users of frequencies in the table illustrated in section 10.1? How is the Authority considering dealing with paired frequencies that appear in 10.1 and 10.2, such as 3600 – 4200 / 5925 – 6425 MHz?</w:t>
      </w:r>
    </w:p>
    <w:p w14:paraId="7B6AE353" w14:textId="77777777" w:rsidR="00AA0D94" w:rsidRPr="00612627" w:rsidRDefault="00AA0D94" w:rsidP="00612627">
      <w:pPr>
        <w:spacing w:line="360" w:lineRule="auto"/>
        <w:rPr>
          <w:rFonts w:ascii="Verdana" w:hAnsi="Verdana"/>
        </w:rPr>
      </w:pPr>
    </w:p>
    <w:p w14:paraId="4E9FD346" w14:textId="77777777" w:rsidR="00AA0D94" w:rsidRPr="00612627" w:rsidRDefault="00AA0D94" w:rsidP="00612627">
      <w:pPr>
        <w:spacing w:line="360" w:lineRule="auto"/>
        <w:ind w:left="730"/>
        <w:rPr>
          <w:rFonts w:ascii="Verdana" w:hAnsi="Verdana"/>
        </w:rPr>
      </w:pPr>
      <w:r w:rsidRPr="00612627">
        <w:rPr>
          <w:rFonts w:ascii="Verdana" w:hAnsi="Verdana"/>
          <w:b/>
          <w:bCs/>
        </w:rPr>
        <w:t>Authority’s response:</w:t>
      </w:r>
    </w:p>
    <w:p w14:paraId="64790276" w14:textId="77777777" w:rsidR="00111847" w:rsidRPr="00612627" w:rsidRDefault="00111847" w:rsidP="00612627">
      <w:pPr>
        <w:spacing w:line="360" w:lineRule="auto"/>
        <w:ind w:left="710"/>
        <w:rPr>
          <w:rFonts w:ascii="Verdana" w:hAnsi="Verdana"/>
        </w:rPr>
      </w:pPr>
      <w:r w:rsidRPr="00612627">
        <w:rPr>
          <w:rFonts w:ascii="Verdana" w:hAnsi="Verdana"/>
        </w:rPr>
        <w:t xml:space="preserve">The </w:t>
      </w:r>
      <w:r w:rsidR="00910FF7">
        <w:rPr>
          <w:rFonts w:ascii="Verdana" w:hAnsi="Verdana"/>
        </w:rPr>
        <w:t>I</w:t>
      </w:r>
      <w:r w:rsidRPr="00612627">
        <w:rPr>
          <w:rFonts w:ascii="Verdana" w:hAnsi="Verdana"/>
        </w:rPr>
        <w:t>nquiry questionnaire aims to gain feedback from stakeholders. Stakeholders should therefore propose alternative bands that they suggest might be used for</w:t>
      </w:r>
      <w:r w:rsidR="00C82B54" w:rsidRPr="00612627">
        <w:rPr>
          <w:rFonts w:ascii="Verdana" w:hAnsi="Verdana"/>
        </w:rPr>
        <w:t xml:space="preserve"> the implementation of </w:t>
      </w:r>
      <w:r w:rsidR="006F6D92" w:rsidRPr="00612627">
        <w:rPr>
          <w:rFonts w:ascii="Verdana" w:hAnsi="Verdana"/>
        </w:rPr>
        <w:t xml:space="preserve">the </w:t>
      </w:r>
      <w:r w:rsidR="00910FF7">
        <w:rPr>
          <w:rFonts w:ascii="Verdana" w:hAnsi="Verdana"/>
        </w:rPr>
        <w:t>M</w:t>
      </w:r>
      <w:r w:rsidR="006F6D92" w:rsidRPr="00612627">
        <w:rPr>
          <w:rFonts w:ascii="Verdana" w:hAnsi="Verdana"/>
        </w:rPr>
        <w:t>igration</w:t>
      </w:r>
      <w:r w:rsidR="00C82B54" w:rsidRPr="00612627">
        <w:rPr>
          <w:rFonts w:ascii="Verdana" w:hAnsi="Verdana"/>
        </w:rPr>
        <w:t xml:space="preserve"> </w:t>
      </w:r>
      <w:r w:rsidR="00910FF7">
        <w:rPr>
          <w:rFonts w:ascii="Verdana" w:hAnsi="Verdana"/>
        </w:rPr>
        <w:t>P</w:t>
      </w:r>
      <w:r w:rsidR="00C82B54" w:rsidRPr="00612627">
        <w:rPr>
          <w:rFonts w:ascii="Verdana" w:hAnsi="Verdana"/>
        </w:rPr>
        <w:t>lan</w:t>
      </w:r>
      <w:r w:rsidR="000E23AB" w:rsidRPr="00612627">
        <w:rPr>
          <w:rFonts w:ascii="Verdana" w:hAnsi="Verdana"/>
        </w:rPr>
        <w:t xml:space="preserve"> </w:t>
      </w:r>
      <w:r w:rsidR="00910FF7">
        <w:rPr>
          <w:rFonts w:ascii="Verdana" w:hAnsi="Verdana"/>
        </w:rPr>
        <w:t xml:space="preserve">of </w:t>
      </w:r>
      <w:r w:rsidR="000E23AB" w:rsidRPr="00612627">
        <w:rPr>
          <w:rFonts w:ascii="Verdana" w:hAnsi="Verdana"/>
        </w:rPr>
        <w:t>2013 and 2019</w:t>
      </w:r>
      <w:r w:rsidR="00910FF7">
        <w:rPr>
          <w:rFonts w:ascii="Verdana" w:hAnsi="Verdana"/>
        </w:rPr>
        <w:t>,</w:t>
      </w:r>
      <w:r w:rsidR="000E23AB" w:rsidRPr="00612627">
        <w:rPr>
          <w:rFonts w:ascii="Verdana" w:hAnsi="Verdana"/>
        </w:rPr>
        <w:t xml:space="preserve"> as well as the IMT Roadmap</w:t>
      </w:r>
      <w:r w:rsidR="00910FF7">
        <w:rPr>
          <w:rFonts w:ascii="Verdana" w:hAnsi="Verdana"/>
        </w:rPr>
        <w:t>s of</w:t>
      </w:r>
      <w:r w:rsidR="000E23AB" w:rsidRPr="00612627">
        <w:rPr>
          <w:rFonts w:ascii="Verdana" w:hAnsi="Verdana"/>
        </w:rPr>
        <w:t xml:space="preserve"> </w:t>
      </w:r>
      <w:r w:rsidR="0068181F" w:rsidRPr="00612627">
        <w:rPr>
          <w:rFonts w:ascii="Verdana" w:hAnsi="Verdana"/>
        </w:rPr>
        <w:t>2014 and 2019</w:t>
      </w:r>
      <w:r w:rsidRPr="00612627">
        <w:rPr>
          <w:rFonts w:ascii="Verdana" w:hAnsi="Verdana"/>
        </w:rPr>
        <w:t xml:space="preserve">, in addition to those detailed, as stakeholders within the industry are likely to have additional information </w:t>
      </w:r>
      <w:r w:rsidR="0068181F" w:rsidRPr="00612627">
        <w:rPr>
          <w:rFonts w:ascii="Verdana" w:hAnsi="Verdana"/>
        </w:rPr>
        <w:t>on the current use and usage</w:t>
      </w:r>
      <w:r w:rsidR="00DD7383" w:rsidRPr="00612627">
        <w:rPr>
          <w:rFonts w:ascii="Verdana" w:hAnsi="Verdana"/>
        </w:rPr>
        <w:t xml:space="preserve"> of the frequency </w:t>
      </w:r>
      <w:r w:rsidR="002C2EE5" w:rsidRPr="00612627">
        <w:rPr>
          <w:rFonts w:ascii="Verdana" w:hAnsi="Verdana"/>
        </w:rPr>
        <w:t xml:space="preserve">bands </w:t>
      </w:r>
      <w:r w:rsidRPr="00612627">
        <w:rPr>
          <w:rFonts w:ascii="Verdana" w:hAnsi="Verdana"/>
        </w:rPr>
        <w:t xml:space="preserve"> </w:t>
      </w:r>
    </w:p>
    <w:p w14:paraId="11606780" w14:textId="77777777" w:rsidR="00111847" w:rsidRPr="00612627" w:rsidRDefault="00111847" w:rsidP="00612627">
      <w:pPr>
        <w:spacing w:line="360" w:lineRule="auto"/>
        <w:ind w:left="710"/>
        <w:rPr>
          <w:rFonts w:ascii="Verdana" w:hAnsi="Verdana"/>
        </w:rPr>
      </w:pPr>
    </w:p>
    <w:p w14:paraId="3A6F4BED" w14:textId="77777777" w:rsidR="00910FF7" w:rsidRDefault="00111847" w:rsidP="00612627">
      <w:pPr>
        <w:spacing w:line="360" w:lineRule="auto"/>
        <w:ind w:left="710"/>
        <w:rPr>
          <w:rFonts w:ascii="Verdana" w:hAnsi="Verdana"/>
        </w:rPr>
      </w:pPr>
      <w:proofErr w:type="gramStart"/>
      <w:r w:rsidRPr="00612627">
        <w:rPr>
          <w:rFonts w:ascii="Verdana" w:hAnsi="Verdana"/>
        </w:rPr>
        <w:lastRenderedPageBreak/>
        <w:t>With regard to</w:t>
      </w:r>
      <w:proofErr w:type="gramEnd"/>
      <w:r w:rsidRPr="00612627">
        <w:rPr>
          <w:rFonts w:ascii="Verdana" w:hAnsi="Verdana"/>
        </w:rPr>
        <w:t xml:space="preserve"> services that facilitate access to broadband, </w:t>
      </w:r>
      <w:r w:rsidR="008B67CF" w:rsidRPr="00612627">
        <w:rPr>
          <w:rFonts w:ascii="Verdana" w:hAnsi="Verdana"/>
        </w:rPr>
        <w:t xml:space="preserve">the Authority is </w:t>
      </w:r>
      <w:r w:rsidRPr="00612627">
        <w:rPr>
          <w:rFonts w:ascii="Verdana" w:hAnsi="Verdana"/>
        </w:rPr>
        <w:t>referring</w:t>
      </w:r>
      <w:r w:rsidR="00D40618" w:rsidRPr="00612627">
        <w:rPr>
          <w:rFonts w:ascii="Verdana" w:hAnsi="Verdana"/>
        </w:rPr>
        <w:t xml:space="preserve"> to</w:t>
      </w:r>
      <w:r w:rsidR="008B67CF" w:rsidRPr="00612627">
        <w:rPr>
          <w:rFonts w:ascii="Verdana" w:hAnsi="Verdana"/>
        </w:rPr>
        <w:t xml:space="preserve"> </w:t>
      </w:r>
      <w:r w:rsidR="000E21F2" w:rsidRPr="00612627">
        <w:rPr>
          <w:rFonts w:ascii="Verdana" w:hAnsi="Verdana"/>
        </w:rPr>
        <w:t>s</w:t>
      </w:r>
      <w:r w:rsidR="008B67CF" w:rsidRPr="00612627">
        <w:rPr>
          <w:rFonts w:ascii="Verdana" w:hAnsi="Verdana"/>
        </w:rPr>
        <w:t xml:space="preserve">ystems </w:t>
      </w:r>
      <w:r w:rsidR="00AB5289" w:rsidRPr="00612627">
        <w:rPr>
          <w:rFonts w:ascii="Verdana" w:hAnsi="Verdana"/>
        </w:rPr>
        <w:t>and applications</w:t>
      </w:r>
      <w:r w:rsidR="00910FF7">
        <w:rPr>
          <w:rFonts w:ascii="Verdana" w:hAnsi="Verdana"/>
        </w:rPr>
        <w:t>,</w:t>
      </w:r>
      <w:r w:rsidR="00AB5289" w:rsidRPr="00612627">
        <w:rPr>
          <w:rFonts w:ascii="Verdana" w:hAnsi="Verdana"/>
        </w:rPr>
        <w:t xml:space="preserve"> </w:t>
      </w:r>
      <w:r w:rsidRPr="00612627">
        <w:rPr>
          <w:rFonts w:ascii="Verdana" w:hAnsi="Verdana"/>
        </w:rPr>
        <w:t xml:space="preserve">such as </w:t>
      </w:r>
      <w:r w:rsidR="00D2177B" w:rsidRPr="00612627">
        <w:rPr>
          <w:rFonts w:ascii="Verdana" w:hAnsi="Verdana"/>
        </w:rPr>
        <w:t>Wi-Fi</w:t>
      </w:r>
      <w:r w:rsidRPr="00612627">
        <w:rPr>
          <w:rFonts w:ascii="Verdana" w:hAnsi="Verdana"/>
        </w:rPr>
        <w:t xml:space="preserve"> or satellite or fixed wireless services</w:t>
      </w:r>
      <w:r w:rsidR="00910FF7">
        <w:rPr>
          <w:rFonts w:ascii="Verdana" w:hAnsi="Verdana"/>
        </w:rPr>
        <w:t>,</w:t>
      </w:r>
      <w:r w:rsidRPr="00612627">
        <w:rPr>
          <w:rFonts w:ascii="Verdana" w:hAnsi="Verdana"/>
        </w:rPr>
        <w:t xml:space="preserve"> that can facilitate </w:t>
      </w:r>
      <w:r w:rsidR="00910FF7">
        <w:rPr>
          <w:rFonts w:ascii="Verdana" w:hAnsi="Verdana"/>
        </w:rPr>
        <w:t>I</w:t>
      </w:r>
      <w:r w:rsidRPr="00612627">
        <w:rPr>
          <w:rFonts w:ascii="Verdana" w:hAnsi="Verdana"/>
        </w:rPr>
        <w:t xml:space="preserve">nternet access. </w:t>
      </w:r>
    </w:p>
    <w:p w14:paraId="5AC0A64D" w14:textId="77777777" w:rsidR="00910FF7" w:rsidRDefault="00910FF7" w:rsidP="00612627">
      <w:pPr>
        <w:spacing w:line="360" w:lineRule="auto"/>
        <w:ind w:left="710"/>
        <w:rPr>
          <w:rFonts w:ascii="Verdana" w:hAnsi="Verdana"/>
        </w:rPr>
      </w:pPr>
    </w:p>
    <w:p w14:paraId="2BB8C4B2" w14:textId="77777777" w:rsidR="00AA0D94" w:rsidRPr="00612627" w:rsidRDefault="00111847" w:rsidP="00612627">
      <w:pPr>
        <w:spacing w:line="360" w:lineRule="auto"/>
        <w:ind w:left="710"/>
        <w:rPr>
          <w:rFonts w:ascii="Verdana" w:hAnsi="Verdana"/>
        </w:rPr>
      </w:pPr>
      <w:r w:rsidRPr="00612627">
        <w:rPr>
          <w:rFonts w:ascii="Verdana" w:hAnsi="Verdana"/>
        </w:rPr>
        <w:t xml:space="preserve">Where stakeholders feel additional consideration is required </w:t>
      </w:r>
      <w:proofErr w:type="gramStart"/>
      <w:r w:rsidRPr="00612627">
        <w:rPr>
          <w:rFonts w:ascii="Verdana" w:hAnsi="Verdana"/>
        </w:rPr>
        <w:t>with regard</w:t>
      </w:r>
      <w:r w:rsidR="00AB5289" w:rsidRPr="00612627">
        <w:rPr>
          <w:rFonts w:ascii="Verdana" w:hAnsi="Verdana"/>
        </w:rPr>
        <w:t xml:space="preserve"> to</w:t>
      </w:r>
      <w:proofErr w:type="gramEnd"/>
      <w:r w:rsidR="00AB5289" w:rsidRPr="00612627">
        <w:rPr>
          <w:rFonts w:ascii="Verdana" w:hAnsi="Verdana"/>
        </w:rPr>
        <w:t xml:space="preserve"> </w:t>
      </w:r>
      <w:r w:rsidRPr="00612627">
        <w:rPr>
          <w:rFonts w:ascii="Verdana" w:hAnsi="Verdana"/>
        </w:rPr>
        <w:t>dealing with paired frequencies</w:t>
      </w:r>
      <w:r w:rsidR="00910FF7">
        <w:rPr>
          <w:rFonts w:ascii="Verdana" w:hAnsi="Verdana"/>
        </w:rPr>
        <w:t>,</w:t>
      </w:r>
      <w:r w:rsidRPr="00612627">
        <w:rPr>
          <w:rFonts w:ascii="Verdana" w:hAnsi="Verdana"/>
        </w:rPr>
        <w:t xml:space="preserve"> then the </w:t>
      </w:r>
      <w:r w:rsidR="00910FF7">
        <w:rPr>
          <w:rFonts w:ascii="Verdana" w:hAnsi="Verdana"/>
        </w:rPr>
        <w:t>I</w:t>
      </w:r>
      <w:r w:rsidRPr="00612627">
        <w:rPr>
          <w:rFonts w:ascii="Verdana" w:hAnsi="Verdana"/>
        </w:rPr>
        <w:t xml:space="preserve">nquiry </w:t>
      </w:r>
      <w:r w:rsidR="00910FF7">
        <w:rPr>
          <w:rFonts w:ascii="Verdana" w:hAnsi="Verdana"/>
        </w:rPr>
        <w:t>Q</w:t>
      </w:r>
      <w:r w:rsidRPr="00612627">
        <w:rPr>
          <w:rFonts w:ascii="Verdana" w:hAnsi="Verdana"/>
        </w:rPr>
        <w:t>uestionnaire is seeking feedback from stakeholders on this</w:t>
      </w:r>
      <w:r w:rsidR="00910FF7">
        <w:rPr>
          <w:rFonts w:ascii="Verdana" w:hAnsi="Verdana"/>
        </w:rPr>
        <w:t>,</w:t>
      </w:r>
      <w:r w:rsidRPr="00612627">
        <w:rPr>
          <w:rFonts w:ascii="Verdana" w:hAnsi="Verdana"/>
        </w:rPr>
        <w:t xml:space="preserve"> if they have any.  </w:t>
      </w:r>
    </w:p>
    <w:p w14:paraId="6A5EA9A4" w14:textId="77777777" w:rsidR="00AA0D94" w:rsidRPr="00612627" w:rsidRDefault="00AA0D94" w:rsidP="00612627">
      <w:pPr>
        <w:pStyle w:val="ListParagraph"/>
        <w:spacing w:after="0" w:line="360" w:lineRule="auto"/>
        <w:ind w:firstLine="0"/>
        <w:rPr>
          <w:rFonts w:ascii="Verdana" w:hAnsi="Verdana"/>
          <w:b/>
          <w:bCs/>
        </w:rPr>
      </w:pPr>
    </w:p>
    <w:p w14:paraId="4C9EF5A2" w14:textId="77777777" w:rsidR="0036477A" w:rsidRPr="00612627" w:rsidRDefault="0036477A" w:rsidP="00612627">
      <w:pPr>
        <w:pStyle w:val="ListParagraph"/>
        <w:numPr>
          <w:ilvl w:val="1"/>
          <w:numId w:val="3"/>
        </w:numPr>
        <w:spacing w:after="0" w:line="360" w:lineRule="auto"/>
        <w:ind w:left="720" w:hanging="720"/>
        <w:rPr>
          <w:rFonts w:ascii="Verdana" w:hAnsi="Verdana"/>
          <w:b/>
          <w:bCs/>
        </w:rPr>
      </w:pPr>
      <w:r w:rsidRPr="00612627">
        <w:rPr>
          <w:rFonts w:ascii="Verdana" w:hAnsi="Verdana"/>
          <w:b/>
          <w:bCs/>
        </w:rPr>
        <w:t xml:space="preserve">Question </w:t>
      </w:r>
      <w:r w:rsidR="00221CC4" w:rsidRPr="00612627">
        <w:rPr>
          <w:rFonts w:ascii="Verdana" w:hAnsi="Verdana"/>
          <w:b/>
          <w:bCs/>
        </w:rPr>
        <w:t>15</w:t>
      </w:r>
    </w:p>
    <w:p w14:paraId="094227C3" w14:textId="77777777" w:rsidR="00221CC4" w:rsidRPr="00612627" w:rsidRDefault="00221CC4" w:rsidP="00612627">
      <w:pPr>
        <w:pStyle w:val="ListParagraph"/>
        <w:spacing w:after="0" w:line="360" w:lineRule="auto"/>
        <w:ind w:firstLine="0"/>
        <w:rPr>
          <w:rFonts w:ascii="Verdana" w:hAnsi="Verdana"/>
          <w:b/>
          <w:bCs/>
        </w:rPr>
      </w:pPr>
    </w:p>
    <w:p w14:paraId="49FC2A7F" w14:textId="77777777" w:rsidR="00910FF7" w:rsidRDefault="0036477A" w:rsidP="00612627">
      <w:pPr>
        <w:pStyle w:val="ListParagraph"/>
        <w:spacing w:after="0" w:line="360" w:lineRule="auto"/>
        <w:ind w:firstLine="0"/>
        <w:rPr>
          <w:rFonts w:ascii="Verdana" w:hAnsi="Verdana"/>
        </w:rPr>
      </w:pPr>
      <w:r w:rsidRPr="00612627">
        <w:rPr>
          <w:rFonts w:ascii="Verdana" w:hAnsi="Verdana"/>
        </w:rPr>
        <w:t xml:space="preserve">The Authority recently published </w:t>
      </w:r>
      <w:r w:rsidR="00910FF7">
        <w:rPr>
          <w:rFonts w:ascii="Verdana" w:hAnsi="Verdana"/>
        </w:rPr>
        <w:t>a</w:t>
      </w:r>
      <w:r w:rsidRPr="00612627">
        <w:rPr>
          <w:rFonts w:ascii="Verdana" w:hAnsi="Verdana"/>
        </w:rPr>
        <w:t>t draft update of the National Radio Frequency Plan 2021. In this draft plan, the Authority included the decisions for IMT as adopted at WRC-19</w:t>
      </w:r>
      <w:r w:rsidR="00910FF7">
        <w:rPr>
          <w:rFonts w:ascii="Verdana" w:hAnsi="Verdana"/>
        </w:rPr>
        <w:t xml:space="preserve"> (</w:t>
      </w:r>
      <w:r w:rsidR="00D1539C" w:rsidRPr="00612627">
        <w:rPr>
          <w:rFonts w:ascii="Verdana" w:hAnsi="Verdana"/>
        </w:rPr>
        <w:t>i.e.,</w:t>
      </w:r>
      <w:r w:rsidRPr="00612627">
        <w:rPr>
          <w:rFonts w:ascii="Verdana" w:hAnsi="Verdana"/>
        </w:rPr>
        <w:t xml:space="preserve"> the mmWave frequency bands</w:t>
      </w:r>
      <w:r w:rsidR="00910FF7">
        <w:rPr>
          <w:rFonts w:ascii="Verdana" w:hAnsi="Verdana"/>
        </w:rPr>
        <w:t>)</w:t>
      </w:r>
      <w:r w:rsidRPr="00612627">
        <w:rPr>
          <w:rFonts w:ascii="Verdana" w:hAnsi="Verdana"/>
        </w:rPr>
        <w:t xml:space="preserve">. </w:t>
      </w:r>
    </w:p>
    <w:p w14:paraId="69F72EFD" w14:textId="77777777" w:rsidR="00910FF7" w:rsidRDefault="00910FF7" w:rsidP="00612627">
      <w:pPr>
        <w:pStyle w:val="ListParagraph"/>
        <w:spacing w:after="0" w:line="360" w:lineRule="auto"/>
        <w:ind w:firstLine="0"/>
        <w:rPr>
          <w:rFonts w:ascii="Verdana" w:hAnsi="Verdana"/>
        </w:rPr>
      </w:pPr>
    </w:p>
    <w:p w14:paraId="4AD28C7B" w14:textId="77777777" w:rsidR="0036477A" w:rsidRDefault="0036477A" w:rsidP="00612627">
      <w:pPr>
        <w:pStyle w:val="ListParagraph"/>
        <w:spacing w:after="0" w:line="360" w:lineRule="auto"/>
        <w:ind w:firstLine="0"/>
        <w:rPr>
          <w:rFonts w:ascii="Verdana" w:hAnsi="Verdana"/>
        </w:rPr>
      </w:pPr>
      <w:r w:rsidRPr="00612627">
        <w:rPr>
          <w:rFonts w:ascii="Verdana" w:hAnsi="Verdana"/>
        </w:rPr>
        <w:t>In terms of process, Telkom believes that the updating of the Frequency Migration Plan should be concluded, before the final updated band plan is prescribed. In this way, the IMT bands adopted, and the related migration of incumbent services, will be reflected in the updated band plan. Can the Authority confirm this understanding in terms of process?</w:t>
      </w:r>
    </w:p>
    <w:p w14:paraId="0A642C18" w14:textId="77777777" w:rsidR="00910FF7" w:rsidRPr="00612627" w:rsidRDefault="00910FF7" w:rsidP="00612627">
      <w:pPr>
        <w:pStyle w:val="ListParagraph"/>
        <w:spacing w:after="0" w:line="360" w:lineRule="auto"/>
        <w:ind w:firstLine="0"/>
        <w:rPr>
          <w:rFonts w:ascii="Verdana" w:hAnsi="Verdana"/>
        </w:rPr>
      </w:pPr>
    </w:p>
    <w:p w14:paraId="3FFC4D4A" w14:textId="77777777" w:rsidR="0036477A" w:rsidRPr="00612627" w:rsidRDefault="0036477A" w:rsidP="00612627">
      <w:pPr>
        <w:pStyle w:val="ListParagraph"/>
        <w:spacing w:after="0" w:line="360" w:lineRule="auto"/>
        <w:ind w:firstLine="0"/>
        <w:rPr>
          <w:rFonts w:ascii="Verdana" w:hAnsi="Verdana"/>
        </w:rPr>
      </w:pPr>
      <w:r w:rsidRPr="00612627">
        <w:rPr>
          <w:rFonts w:ascii="Verdana" w:hAnsi="Verdana"/>
        </w:rPr>
        <w:t>If the Authority intends to publish the updated band plan before concluding on</w:t>
      </w:r>
      <w:r w:rsidR="00910FF7">
        <w:rPr>
          <w:rFonts w:ascii="Verdana" w:hAnsi="Verdana"/>
        </w:rPr>
        <w:t xml:space="preserve"> </w:t>
      </w:r>
      <w:r w:rsidRPr="00612627">
        <w:rPr>
          <w:rFonts w:ascii="Verdana" w:hAnsi="Verdana"/>
        </w:rPr>
        <w:t>updating the migration plan, how does the Authority intend to ensure alignment between these two documents?</w:t>
      </w:r>
    </w:p>
    <w:p w14:paraId="4D2DEF0B" w14:textId="77777777" w:rsidR="00085606" w:rsidRPr="00612627" w:rsidRDefault="00085606" w:rsidP="00612627">
      <w:pPr>
        <w:pStyle w:val="ListParagraph"/>
        <w:spacing w:after="0" w:line="360" w:lineRule="auto"/>
        <w:ind w:right="0" w:firstLine="0"/>
        <w:rPr>
          <w:rFonts w:ascii="Verdana" w:hAnsi="Verdana"/>
        </w:rPr>
      </w:pPr>
    </w:p>
    <w:p w14:paraId="763846B2" w14:textId="77777777" w:rsidR="00E6071A" w:rsidRPr="00612627" w:rsidRDefault="00A74F04" w:rsidP="00612627">
      <w:pPr>
        <w:spacing w:after="0" w:line="360" w:lineRule="auto"/>
        <w:ind w:left="720" w:right="0" w:firstLine="0"/>
        <w:rPr>
          <w:rFonts w:ascii="Verdana" w:hAnsi="Verdana"/>
          <w:b/>
          <w:bCs/>
        </w:rPr>
      </w:pPr>
      <w:r w:rsidRPr="00612627">
        <w:rPr>
          <w:rFonts w:ascii="Verdana" w:hAnsi="Verdana"/>
          <w:b/>
          <w:bCs/>
        </w:rPr>
        <w:t>Authority’s response:</w:t>
      </w:r>
    </w:p>
    <w:p w14:paraId="67FD025D" w14:textId="77777777" w:rsidR="00910FF7" w:rsidRDefault="00483EEC" w:rsidP="00612627">
      <w:pPr>
        <w:spacing w:after="0" w:line="360" w:lineRule="auto"/>
        <w:ind w:left="720" w:right="0" w:firstLine="0"/>
        <w:rPr>
          <w:rFonts w:ascii="Verdana" w:hAnsi="Verdana"/>
        </w:rPr>
      </w:pPr>
      <w:r w:rsidRPr="00612627">
        <w:rPr>
          <w:rFonts w:ascii="Verdana" w:hAnsi="Verdana"/>
        </w:rPr>
        <w:t>Section</w:t>
      </w:r>
      <w:r w:rsidR="00E7340D" w:rsidRPr="00612627">
        <w:rPr>
          <w:rFonts w:ascii="Verdana" w:hAnsi="Verdana"/>
        </w:rPr>
        <w:t xml:space="preserve"> </w:t>
      </w:r>
      <w:r w:rsidR="00650BC8" w:rsidRPr="00612627">
        <w:rPr>
          <w:rFonts w:ascii="Verdana" w:hAnsi="Verdana"/>
        </w:rPr>
        <w:t xml:space="preserve">34(16) of the ECA </w:t>
      </w:r>
      <w:r w:rsidR="00353B93" w:rsidRPr="00612627">
        <w:rPr>
          <w:rFonts w:ascii="Verdana" w:hAnsi="Verdana"/>
        </w:rPr>
        <w:t>provides that</w:t>
      </w:r>
      <w:r w:rsidR="00910FF7">
        <w:rPr>
          <w:rFonts w:ascii="Verdana" w:hAnsi="Verdana"/>
        </w:rPr>
        <w:t>:</w:t>
      </w:r>
    </w:p>
    <w:p w14:paraId="7050929B" w14:textId="4371EA29" w:rsidR="002D0D15" w:rsidRPr="00612627" w:rsidRDefault="00353B93" w:rsidP="00910FF7">
      <w:pPr>
        <w:spacing w:after="0" w:line="360" w:lineRule="auto"/>
        <w:ind w:left="1440" w:right="0" w:firstLine="0"/>
        <w:rPr>
          <w:rFonts w:ascii="Verdana" w:hAnsi="Verdana"/>
          <w:i/>
          <w:iCs/>
        </w:rPr>
      </w:pPr>
      <w:r w:rsidRPr="00612627">
        <w:rPr>
          <w:rFonts w:ascii="Verdana" w:hAnsi="Verdana"/>
        </w:rPr>
        <w:t>“</w:t>
      </w:r>
      <w:r w:rsidRPr="00612627">
        <w:rPr>
          <w:rFonts w:ascii="Verdana" w:hAnsi="Verdana"/>
          <w:i/>
          <w:iCs/>
        </w:rPr>
        <w:t xml:space="preserve">the Authority </w:t>
      </w:r>
      <w:r w:rsidR="00971E05" w:rsidRPr="00612627">
        <w:rPr>
          <w:rFonts w:ascii="Verdana" w:hAnsi="Verdana"/>
          <w:i/>
          <w:iCs/>
        </w:rPr>
        <w:t xml:space="preserve">may, where the national </w:t>
      </w:r>
      <w:r w:rsidR="008D2230" w:rsidRPr="00612627">
        <w:rPr>
          <w:rFonts w:ascii="Verdana" w:hAnsi="Verdana"/>
          <w:i/>
          <w:iCs/>
        </w:rPr>
        <w:t xml:space="preserve">radio frequency </w:t>
      </w:r>
      <w:r w:rsidR="00E07A17" w:rsidRPr="00612627">
        <w:rPr>
          <w:rFonts w:ascii="Verdana" w:hAnsi="Verdana"/>
          <w:i/>
          <w:iCs/>
        </w:rPr>
        <w:t xml:space="preserve">plan identifies radio frequency </w:t>
      </w:r>
      <w:r w:rsidR="00537A82" w:rsidRPr="00612627">
        <w:rPr>
          <w:rFonts w:ascii="Verdana" w:hAnsi="Verdana"/>
          <w:i/>
          <w:iCs/>
        </w:rPr>
        <w:t xml:space="preserve">spectrum </w:t>
      </w:r>
      <w:r w:rsidR="00175AA0" w:rsidRPr="00612627">
        <w:rPr>
          <w:rFonts w:ascii="Verdana" w:hAnsi="Verdana"/>
          <w:i/>
          <w:iCs/>
        </w:rPr>
        <w:t>that is occupied and requires the migration of the users</w:t>
      </w:r>
      <w:r w:rsidR="00AC0F36" w:rsidRPr="00612627">
        <w:rPr>
          <w:rFonts w:ascii="Verdana" w:hAnsi="Verdana"/>
          <w:i/>
          <w:iCs/>
        </w:rPr>
        <w:t xml:space="preserve"> of the </w:t>
      </w:r>
      <w:r w:rsidR="00E7213F" w:rsidRPr="00612627">
        <w:rPr>
          <w:rFonts w:ascii="Verdana" w:hAnsi="Verdana"/>
          <w:i/>
          <w:iCs/>
        </w:rPr>
        <w:t xml:space="preserve">of such radio frequency spectrum to other radio frequency </w:t>
      </w:r>
      <w:r w:rsidR="00E805E3" w:rsidRPr="00612627">
        <w:rPr>
          <w:rFonts w:ascii="Verdana" w:hAnsi="Verdana"/>
          <w:i/>
          <w:iCs/>
        </w:rPr>
        <w:t xml:space="preserve">bands, migrate the users to such other radio frequency </w:t>
      </w:r>
      <w:r w:rsidR="00934CB5" w:rsidRPr="00612627">
        <w:rPr>
          <w:rFonts w:ascii="Verdana" w:hAnsi="Verdana"/>
          <w:i/>
          <w:iCs/>
        </w:rPr>
        <w:t xml:space="preserve">bands in accordance with the national radio frequency </w:t>
      </w:r>
      <w:r w:rsidR="009967B7" w:rsidRPr="00612627">
        <w:rPr>
          <w:rFonts w:ascii="Verdana" w:hAnsi="Verdana"/>
          <w:i/>
          <w:iCs/>
        </w:rPr>
        <w:t>pla</w:t>
      </w:r>
      <w:r w:rsidR="009967B7">
        <w:rPr>
          <w:rFonts w:ascii="Verdana" w:hAnsi="Verdana"/>
          <w:i/>
          <w:iCs/>
        </w:rPr>
        <w:t>n</w:t>
      </w:r>
      <w:r w:rsidR="009967B7" w:rsidRPr="00612627">
        <w:rPr>
          <w:rFonts w:ascii="Verdana" w:hAnsi="Verdana"/>
          <w:i/>
          <w:iCs/>
        </w:rPr>
        <w:t>”</w:t>
      </w:r>
      <w:r w:rsidR="00906726">
        <w:rPr>
          <w:rFonts w:ascii="Verdana" w:hAnsi="Verdana"/>
          <w:i/>
          <w:iCs/>
        </w:rPr>
        <w:t>.</w:t>
      </w:r>
    </w:p>
    <w:p w14:paraId="5E1548EE" w14:textId="77777777" w:rsidR="005F2D3F" w:rsidRPr="00612627" w:rsidRDefault="005F2D3F" w:rsidP="00612627">
      <w:pPr>
        <w:spacing w:after="0" w:line="360" w:lineRule="auto"/>
        <w:ind w:left="720" w:right="0" w:firstLine="0"/>
        <w:rPr>
          <w:rFonts w:ascii="Verdana" w:hAnsi="Verdana"/>
          <w:i/>
          <w:iCs/>
        </w:rPr>
      </w:pPr>
    </w:p>
    <w:p w14:paraId="25D1F5A4" w14:textId="5E2A88B0" w:rsidR="002D0D15" w:rsidRPr="00612627" w:rsidRDefault="00A81C1C" w:rsidP="00612627">
      <w:pPr>
        <w:spacing w:after="0" w:line="360" w:lineRule="auto"/>
        <w:ind w:left="720" w:right="0" w:firstLine="0"/>
        <w:rPr>
          <w:rFonts w:ascii="Verdana" w:hAnsi="Verdana"/>
        </w:rPr>
      </w:pPr>
      <w:r w:rsidRPr="00612627">
        <w:rPr>
          <w:rFonts w:ascii="Verdana" w:hAnsi="Verdana"/>
        </w:rPr>
        <w:t>In terms of process</w:t>
      </w:r>
      <w:r w:rsidR="000E21F2" w:rsidRPr="00612627">
        <w:rPr>
          <w:rFonts w:ascii="Verdana" w:hAnsi="Verdana"/>
        </w:rPr>
        <w:t>,</w:t>
      </w:r>
      <w:r w:rsidRPr="00612627">
        <w:rPr>
          <w:rFonts w:ascii="Verdana" w:hAnsi="Verdana"/>
        </w:rPr>
        <w:t xml:space="preserve"> the Authority develops the </w:t>
      </w:r>
      <w:r w:rsidR="003B0F2E" w:rsidRPr="00612627">
        <w:rPr>
          <w:rFonts w:ascii="Verdana" w:hAnsi="Verdana"/>
        </w:rPr>
        <w:t>National Radio Frequency Plan</w:t>
      </w:r>
      <w:r w:rsidR="00910FF7">
        <w:rPr>
          <w:rFonts w:ascii="Verdana" w:hAnsi="Verdana"/>
        </w:rPr>
        <w:t>,</w:t>
      </w:r>
      <w:r w:rsidR="003B0F2E" w:rsidRPr="00612627">
        <w:rPr>
          <w:rFonts w:ascii="Verdana" w:hAnsi="Verdana"/>
        </w:rPr>
        <w:t xml:space="preserve"> and</w:t>
      </w:r>
      <w:r w:rsidR="00910FF7">
        <w:rPr>
          <w:rFonts w:ascii="Verdana" w:hAnsi="Verdana"/>
        </w:rPr>
        <w:t>,</w:t>
      </w:r>
      <w:r w:rsidR="003B0F2E" w:rsidRPr="00612627">
        <w:rPr>
          <w:rFonts w:ascii="Verdana" w:hAnsi="Verdana"/>
        </w:rPr>
        <w:t xml:space="preserve"> upon publication thereof, </w:t>
      </w:r>
      <w:r w:rsidR="00910FF7">
        <w:rPr>
          <w:rFonts w:ascii="Verdana" w:hAnsi="Verdana"/>
        </w:rPr>
        <w:t>th</w:t>
      </w:r>
      <w:r w:rsidR="006C2CBC" w:rsidRPr="00612627">
        <w:rPr>
          <w:rFonts w:ascii="Verdana" w:hAnsi="Verdana"/>
        </w:rPr>
        <w:t>i</w:t>
      </w:r>
      <w:r w:rsidR="00910FF7">
        <w:rPr>
          <w:rFonts w:ascii="Verdana" w:hAnsi="Verdana"/>
        </w:rPr>
        <w:t>s</w:t>
      </w:r>
      <w:r w:rsidR="006C2CBC" w:rsidRPr="00612627">
        <w:rPr>
          <w:rFonts w:ascii="Verdana" w:hAnsi="Verdana"/>
        </w:rPr>
        <w:t xml:space="preserve"> </w:t>
      </w:r>
      <w:r w:rsidR="008374CB" w:rsidRPr="00612627">
        <w:rPr>
          <w:rFonts w:ascii="Verdana" w:hAnsi="Verdana"/>
        </w:rPr>
        <w:t>form</w:t>
      </w:r>
      <w:r w:rsidR="000E21F2" w:rsidRPr="00612627">
        <w:rPr>
          <w:rFonts w:ascii="Verdana" w:hAnsi="Verdana"/>
        </w:rPr>
        <w:t>s</w:t>
      </w:r>
      <w:r w:rsidR="006C2CBC" w:rsidRPr="00612627">
        <w:rPr>
          <w:rFonts w:ascii="Verdana" w:hAnsi="Verdana"/>
        </w:rPr>
        <w:t xml:space="preserve"> the basis for the development </w:t>
      </w:r>
      <w:r w:rsidR="00561A1D" w:rsidRPr="00612627">
        <w:rPr>
          <w:rFonts w:ascii="Verdana" w:hAnsi="Verdana"/>
        </w:rPr>
        <w:t>and updating</w:t>
      </w:r>
      <w:r w:rsidRPr="00612627">
        <w:rPr>
          <w:rFonts w:ascii="Verdana" w:hAnsi="Verdana"/>
        </w:rPr>
        <w:t xml:space="preserve"> of the </w:t>
      </w:r>
      <w:r w:rsidR="008374CB" w:rsidRPr="00612627">
        <w:rPr>
          <w:rFonts w:ascii="Verdana" w:hAnsi="Verdana"/>
        </w:rPr>
        <w:t xml:space="preserve">Radio </w:t>
      </w:r>
      <w:r w:rsidRPr="00612627">
        <w:rPr>
          <w:rFonts w:ascii="Verdana" w:hAnsi="Verdana"/>
        </w:rPr>
        <w:t>Frequency Migration Plan</w:t>
      </w:r>
      <w:r w:rsidR="008374CB" w:rsidRPr="00612627">
        <w:rPr>
          <w:rFonts w:ascii="Verdana" w:hAnsi="Verdana"/>
        </w:rPr>
        <w:t xml:space="preserve">, in accordance with section 34(16) read with the Radio Frequency </w:t>
      </w:r>
      <w:r w:rsidR="00483EEC" w:rsidRPr="00612627">
        <w:rPr>
          <w:rFonts w:ascii="Verdana" w:hAnsi="Verdana"/>
        </w:rPr>
        <w:t>Migration Regulations.</w:t>
      </w:r>
    </w:p>
    <w:sectPr w:rsidR="002D0D15" w:rsidRPr="00612627" w:rsidSect="00770504">
      <w:headerReference w:type="even" r:id="rId13"/>
      <w:headerReference w:type="default" r:id="rId14"/>
      <w:footerReference w:type="even" r:id="rId15"/>
      <w:footerReference w:type="default" r:id="rId16"/>
      <w:headerReference w:type="first" r:id="rId17"/>
      <w:footerReference w:type="first" r:id="rId18"/>
      <w:pgSz w:w="11906" w:h="17011"/>
      <w:pgMar w:top="727" w:right="1196" w:bottom="1195" w:left="135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B92D" w14:textId="77777777" w:rsidR="00A527CC" w:rsidRDefault="00A527CC">
      <w:pPr>
        <w:spacing w:after="0" w:line="240" w:lineRule="auto"/>
      </w:pPr>
      <w:r>
        <w:separator/>
      </w:r>
    </w:p>
  </w:endnote>
  <w:endnote w:type="continuationSeparator" w:id="0">
    <w:p w14:paraId="58F51160" w14:textId="77777777" w:rsidR="00A527CC" w:rsidRDefault="00A527CC">
      <w:pPr>
        <w:spacing w:after="0" w:line="240" w:lineRule="auto"/>
      </w:pPr>
      <w:r>
        <w:continuationSeparator/>
      </w:r>
    </w:p>
  </w:endnote>
  <w:endnote w:type="continuationNotice" w:id="1">
    <w:p w14:paraId="74599E3C" w14:textId="77777777" w:rsidR="00A527CC" w:rsidRDefault="00A52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87CE" w14:textId="77777777" w:rsidR="00EF7CED" w:rsidRDefault="00EF7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DBFC" w14:textId="77777777" w:rsidR="00EF7CED" w:rsidRDefault="00EF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16D8" w14:textId="77777777" w:rsidR="00EF7CED" w:rsidRDefault="00EF7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6746" w14:textId="77777777" w:rsidR="00A527CC" w:rsidRDefault="00A527CC">
      <w:pPr>
        <w:spacing w:after="0" w:line="240" w:lineRule="auto"/>
      </w:pPr>
      <w:r>
        <w:separator/>
      </w:r>
    </w:p>
  </w:footnote>
  <w:footnote w:type="continuationSeparator" w:id="0">
    <w:p w14:paraId="3C987615" w14:textId="77777777" w:rsidR="00A527CC" w:rsidRDefault="00A527CC">
      <w:pPr>
        <w:spacing w:after="0" w:line="240" w:lineRule="auto"/>
      </w:pPr>
      <w:r>
        <w:continuationSeparator/>
      </w:r>
    </w:p>
  </w:footnote>
  <w:footnote w:type="continuationNotice" w:id="1">
    <w:p w14:paraId="7A818E72" w14:textId="77777777" w:rsidR="00A527CC" w:rsidRDefault="00A527CC">
      <w:pPr>
        <w:spacing w:after="0" w:line="240" w:lineRule="auto"/>
      </w:pPr>
    </w:p>
  </w:footnote>
  <w:footnote w:id="2">
    <w:p w14:paraId="509BEA7C" w14:textId="77777777" w:rsidR="007C5A48" w:rsidRPr="00483EEC" w:rsidRDefault="007C5A48">
      <w:pPr>
        <w:pStyle w:val="FootnoteText"/>
        <w:rPr>
          <w:lang w:val="en-GB"/>
        </w:rPr>
      </w:pPr>
      <w:r>
        <w:rPr>
          <w:rStyle w:val="FootnoteReference"/>
        </w:rPr>
        <w:footnoteRef/>
      </w:r>
      <w:r>
        <w:t xml:space="preserve"> </w:t>
      </w:r>
      <w:r>
        <w:rPr>
          <w:lang w:val="en-GB"/>
        </w:rPr>
        <w:t xml:space="preserve">Government Gazette </w:t>
      </w:r>
      <w:r w:rsidR="00C7513D">
        <w:rPr>
          <w:lang w:val="en-GB"/>
        </w:rPr>
        <w:t xml:space="preserve">36334 </w:t>
      </w:r>
      <w:r w:rsidR="006F6D92">
        <w:rPr>
          <w:lang w:val="en-GB"/>
        </w:rPr>
        <w:t>(Notice</w:t>
      </w:r>
      <w:r w:rsidR="00C7513D">
        <w:rPr>
          <w:lang w:val="en-GB"/>
        </w:rPr>
        <w:t xml:space="preserve"> 352 of 2013)</w:t>
      </w:r>
    </w:p>
  </w:footnote>
  <w:footnote w:id="3">
    <w:p w14:paraId="087F681F" w14:textId="77777777" w:rsidR="00124059" w:rsidRPr="000D0D49" w:rsidRDefault="00124059" w:rsidP="00124059">
      <w:pPr>
        <w:pStyle w:val="FootnoteText"/>
        <w:rPr>
          <w:lang w:val="en-GB"/>
        </w:rPr>
      </w:pPr>
      <w:r>
        <w:rPr>
          <w:rStyle w:val="FootnoteReference"/>
        </w:rPr>
        <w:footnoteRef/>
      </w:r>
      <w:r>
        <w:t xml:space="preserve"> </w:t>
      </w:r>
      <w:r>
        <w:rPr>
          <w:lang w:val="en-GB"/>
        </w:rPr>
        <w:t xml:space="preserve">Government Gazette 36334 </w:t>
      </w:r>
      <w:r w:rsidR="006F6D92">
        <w:rPr>
          <w:lang w:val="en-GB"/>
        </w:rPr>
        <w:t>(Notice</w:t>
      </w:r>
      <w:r>
        <w:rPr>
          <w:lang w:val="en-GB"/>
        </w:rPr>
        <w:t xml:space="preserve"> 352 of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41A6" w14:textId="77777777" w:rsidR="00DF3C76" w:rsidRDefault="006C1E67">
    <w:pPr>
      <w:spacing w:after="0" w:line="259" w:lineRule="auto"/>
      <w:ind w:left="0" w:right="86" w:firstLine="0"/>
      <w:jc w:val="right"/>
    </w:pPr>
    <w:r>
      <w:rPr>
        <w:sz w:val="24"/>
      </w:rPr>
      <w:t xml:space="preserve">Page </w:t>
    </w:r>
    <w:r>
      <w:fldChar w:fldCharType="begin"/>
    </w:r>
    <w:r>
      <w:instrText xml:space="preserve"> PAGE   \* MERGEFORMAT </w:instrText>
    </w:r>
    <w:r>
      <w:fldChar w:fldCharType="separate"/>
    </w:r>
    <w:r>
      <w:rPr>
        <w:sz w:val="24"/>
      </w:rPr>
      <w:t>2</w:t>
    </w:r>
    <w:r>
      <w:rPr>
        <w:sz w:val="24"/>
      </w:rPr>
      <w:fldChar w:fldCharType="end"/>
    </w:r>
    <w:r>
      <w:rPr>
        <w:sz w:val="24"/>
      </w:rPr>
      <w:t xml:space="preserve"> </w:t>
    </w:r>
    <w:r>
      <w:t xml:space="preserve"> </w:t>
    </w:r>
  </w:p>
  <w:p w14:paraId="45166920" w14:textId="77777777" w:rsidR="00DF3C76" w:rsidRDefault="006C1E67">
    <w:pPr>
      <w:spacing w:after="0" w:line="259" w:lineRule="auto"/>
      <w:ind w:left="0" w:right="-108" w:firstLine="0"/>
      <w:jc w:val="right"/>
    </w:pPr>
    <w:r>
      <w:rPr>
        <w:sz w:val="24"/>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8FAF" w14:textId="77777777" w:rsidR="00DF3C76" w:rsidRDefault="006C1E67">
    <w:pPr>
      <w:spacing w:after="0" w:line="259" w:lineRule="auto"/>
      <w:ind w:left="0" w:right="86" w:firstLine="0"/>
      <w:jc w:val="right"/>
    </w:pPr>
    <w:r>
      <w:rPr>
        <w:sz w:val="24"/>
      </w:rPr>
      <w:t xml:space="preserve">Page </w:t>
    </w:r>
    <w:r>
      <w:fldChar w:fldCharType="begin"/>
    </w:r>
    <w:r>
      <w:instrText xml:space="preserve"> PAGE   \* MERGEFORMAT </w:instrText>
    </w:r>
    <w:r>
      <w:fldChar w:fldCharType="separate"/>
    </w:r>
    <w:r>
      <w:rPr>
        <w:sz w:val="24"/>
      </w:rPr>
      <w:t>2</w:t>
    </w:r>
    <w:r>
      <w:rPr>
        <w:sz w:val="24"/>
      </w:rPr>
      <w:fldChar w:fldCharType="end"/>
    </w:r>
    <w:r>
      <w:rPr>
        <w:sz w:val="24"/>
      </w:rPr>
      <w:t xml:space="preserve"> </w:t>
    </w:r>
    <w:r>
      <w:t xml:space="preserve"> </w:t>
    </w:r>
  </w:p>
  <w:p w14:paraId="4ABC07FD" w14:textId="77777777" w:rsidR="00DF3C76" w:rsidRDefault="006C1E67">
    <w:pPr>
      <w:spacing w:after="0" w:line="259" w:lineRule="auto"/>
      <w:ind w:left="0" w:right="-108" w:firstLine="0"/>
      <w:jc w:val="right"/>
    </w:pPr>
    <w:r>
      <w:rPr>
        <w:sz w:val="24"/>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8BD8" w14:textId="77777777" w:rsidR="00DF3C76" w:rsidRDefault="00DF3C7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FE9"/>
    <w:multiLevelType w:val="multilevel"/>
    <w:tmpl w:val="3334A6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C7CC6"/>
    <w:multiLevelType w:val="multilevel"/>
    <w:tmpl w:val="B058CA68"/>
    <w:lvl w:ilvl="0">
      <w:start w:val="1"/>
      <w:numFmt w:val="decimal"/>
      <w:lvlText w:val="%1."/>
      <w:lvlJc w:val="left"/>
      <w:pPr>
        <w:ind w:left="786" w:hanging="360"/>
      </w:pPr>
      <w:rPr>
        <w:rFonts w:hint="default"/>
      </w:rPr>
    </w:lvl>
    <w:lvl w:ilvl="1">
      <w:start w:val="1"/>
      <w:numFmt w:val="decimal"/>
      <w:isLgl/>
      <w:lvlText w:val="%1.%2."/>
      <w:lvlJc w:val="left"/>
      <w:pPr>
        <w:ind w:left="497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727EE1"/>
    <w:multiLevelType w:val="multilevel"/>
    <w:tmpl w:val="94A0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2E1F99"/>
    <w:multiLevelType w:val="hybridMultilevel"/>
    <w:tmpl w:val="DF3216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9C77FB"/>
    <w:multiLevelType w:val="multilevel"/>
    <w:tmpl w:val="D898CC34"/>
    <w:lvl w:ilvl="0">
      <w:start w:val="1"/>
      <w:numFmt w:val="decimal"/>
      <w:lvlText w:val="%1."/>
      <w:lvlJc w:val="left"/>
      <w:pPr>
        <w:ind w:left="360" w:hanging="360"/>
      </w:pPr>
    </w:lvl>
    <w:lvl w:ilvl="1">
      <w:start w:val="1"/>
      <w:numFmt w:val="decimal"/>
      <w:lvlText w:val="%1.%2."/>
      <w:lvlJc w:val="left"/>
      <w:pPr>
        <w:ind w:left="432" w:hanging="432"/>
      </w:pPr>
      <w:rPr>
        <w:b w:val="0"/>
        <w:bCs w:val="0"/>
        <w:sz w:val="22"/>
        <w:szCs w:val="22"/>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E57237"/>
    <w:multiLevelType w:val="hybridMultilevel"/>
    <w:tmpl w:val="0C4E8006"/>
    <w:lvl w:ilvl="0" w:tplc="1C090001">
      <w:start w:val="1"/>
      <w:numFmt w:val="bullet"/>
      <w:lvlText w:val=""/>
      <w:lvlJc w:val="left"/>
      <w:pPr>
        <w:ind w:left="1723" w:hanging="360"/>
      </w:pPr>
      <w:rPr>
        <w:rFonts w:ascii="Symbol" w:hAnsi="Symbol" w:hint="default"/>
      </w:rPr>
    </w:lvl>
    <w:lvl w:ilvl="1" w:tplc="1C090003" w:tentative="1">
      <w:start w:val="1"/>
      <w:numFmt w:val="bullet"/>
      <w:lvlText w:val="o"/>
      <w:lvlJc w:val="left"/>
      <w:pPr>
        <w:ind w:left="2443" w:hanging="360"/>
      </w:pPr>
      <w:rPr>
        <w:rFonts w:ascii="Courier New" w:hAnsi="Courier New" w:cs="Courier New" w:hint="default"/>
      </w:rPr>
    </w:lvl>
    <w:lvl w:ilvl="2" w:tplc="1C090005" w:tentative="1">
      <w:start w:val="1"/>
      <w:numFmt w:val="bullet"/>
      <w:lvlText w:val=""/>
      <w:lvlJc w:val="left"/>
      <w:pPr>
        <w:ind w:left="3163" w:hanging="360"/>
      </w:pPr>
      <w:rPr>
        <w:rFonts w:ascii="Wingdings" w:hAnsi="Wingdings" w:hint="default"/>
      </w:rPr>
    </w:lvl>
    <w:lvl w:ilvl="3" w:tplc="1C090001" w:tentative="1">
      <w:start w:val="1"/>
      <w:numFmt w:val="bullet"/>
      <w:lvlText w:val=""/>
      <w:lvlJc w:val="left"/>
      <w:pPr>
        <w:ind w:left="3883" w:hanging="360"/>
      </w:pPr>
      <w:rPr>
        <w:rFonts w:ascii="Symbol" w:hAnsi="Symbol" w:hint="default"/>
      </w:rPr>
    </w:lvl>
    <w:lvl w:ilvl="4" w:tplc="1C090003" w:tentative="1">
      <w:start w:val="1"/>
      <w:numFmt w:val="bullet"/>
      <w:lvlText w:val="o"/>
      <w:lvlJc w:val="left"/>
      <w:pPr>
        <w:ind w:left="4603" w:hanging="360"/>
      </w:pPr>
      <w:rPr>
        <w:rFonts w:ascii="Courier New" w:hAnsi="Courier New" w:cs="Courier New" w:hint="default"/>
      </w:rPr>
    </w:lvl>
    <w:lvl w:ilvl="5" w:tplc="1C090005" w:tentative="1">
      <w:start w:val="1"/>
      <w:numFmt w:val="bullet"/>
      <w:lvlText w:val=""/>
      <w:lvlJc w:val="left"/>
      <w:pPr>
        <w:ind w:left="5323" w:hanging="360"/>
      </w:pPr>
      <w:rPr>
        <w:rFonts w:ascii="Wingdings" w:hAnsi="Wingdings" w:hint="default"/>
      </w:rPr>
    </w:lvl>
    <w:lvl w:ilvl="6" w:tplc="1C090001" w:tentative="1">
      <w:start w:val="1"/>
      <w:numFmt w:val="bullet"/>
      <w:lvlText w:val=""/>
      <w:lvlJc w:val="left"/>
      <w:pPr>
        <w:ind w:left="6043" w:hanging="360"/>
      </w:pPr>
      <w:rPr>
        <w:rFonts w:ascii="Symbol" w:hAnsi="Symbol" w:hint="default"/>
      </w:rPr>
    </w:lvl>
    <w:lvl w:ilvl="7" w:tplc="1C090003" w:tentative="1">
      <w:start w:val="1"/>
      <w:numFmt w:val="bullet"/>
      <w:lvlText w:val="o"/>
      <w:lvlJc w:val="left"/>
      <w:pPr>
        <w:ind w:left="6763" w:hanging="360"/>
      </w:pPr>
      <w:rPr>
        <w:rFonts w:ascii="Courier New" w:hAnsi="Courier New" w:cs="Courier New" w:hint="default"/>
      </w:rPr>
    </w:lvl>
    <w:lvl w:ilvl="8" w:tplc="1C090005" w:tentative="1">
      <w:start w:val="1"/>
      <w:numFmt w:val="bullet"/>
      <w:lvlText w:val=""/>
      <w:lvlJc w:val="left"/>
      <w:pPr>
        <w:ind w:left="7483" w:hanging="360"/>
      </w:pPr>
      <w:rPr>
        <w:rFonts w:ascii="Wingdings" w:hAnsi="Wingdings" w:hint="default"/>
      </w:rPr>
    </w:lvl>
  </w:abstractNum>
  <w:abstractNum w:abstractNumId="6" w15:restartNumberingAfterBreak="0">
    <w:nsid w:val="6FBD6DED"/>
    <w:multiLevelType w:val="hybridMultilevel"/>
    <w:tmpl w:val="D9727E9E"/>
    <w:lvl w:ilvl="0" w:tplc="E8CED5CA">
      <w:start w:val="1"/>
      <w:numFmt w:val="bullet"/>
      <w:lvlText w:val="•"/>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62182A">
      <w:start w:val="1"/>
      <w:numFmt w:val="bullet"/>
      <w:lvlText w:val="o"/>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AE5F42">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A4C100">
      <w:start w:val="1"/>
      <w:numFmt w:val="bullet"/>
      <w:lvlText w:val="•"/>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EECA70">
      <w:start w:val="1"/>
      <w:numFmt w:val="bullet"/>
      <w:lvlText w:val="o"/>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526E1C">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E2F9D0">
      <w:start w:val="1"/>
      <w:numFmt w:val="bullet"/>
      <w:lvlText w:val="•"/>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A8D2A">
      <w:start w:val="1"/>
      <w:numFmt w:val="bullet"/>
      <w:lvlText w:val="o"/>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A2EAEC">
      <w:start w:val="1"/>
      <w:numFmt w:val="bullet"/>
      <w:lvlText w:val="▪"/>
      <w:lvlJc w:val="left"/>
      <w:pPr>
        <w:ind w:left="7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9015CD8"/>
    <w:multiLevelType w:val="multilevel"/>
    <w:tmpl w:val="EBBA0672"/>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b w:val="0"/>
        <w:i w:val="0"/>
      </w:rPr>
    </w:lvl>
    <w:lvl w:ilvl="3">
      <w:start w:val="1"/>
      <w:numFmt w:val="lowerLetter"/>
      <w:lvlText w:val="(%4)"/>
      <w:lvlJc w:val="left"/>
      <w:pPr>
        <w:ind w:left="1728" w:hanging="648"/>
      </w:pPr>
      <w:rPr>
        <w:rFonts w:hint="default"/>
        <w:b w:val="0"/>
        <w:i w: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135609"/>
    <w:multiLevelType w:val="hybridMultilevel"/>
    <w:tmpl w:val="DA98A1E6"/>
    <w:lvl w:ilvl="0" w:tplc="1C09000F">
      <w:start w:val="1"/>
      <w:numFmt w:val="decimal"/>
      <w:lvlText w:val="%1."/>
      <w:lvlJc w:val="left"/>
      <w:pPr>
        <w:ind w:left="1725" w:hanging="360"/>
      </w:pPr>
    </w:lvl>
    <w:lvl w:ilvl="1" w:tplc="1C090019" w:tentative="1">
      <w:start w:val="1"/>
      <w:numFmt w:val="lowerLetter"/>
      <w:lvlText w:val="%2."/>
      <w:lvlJc w:val="left"/>
      <w:pPr>
        <w:ind w:left="2445" w:hanging="360"/>
      </w:pPr>
    </w:lvl>
    <w:lvl w:ilvl="2" w:tplc="1C09001B" w:tentative="1">
      <w:start w:val="1"/>
      <w:numFmt w:val="lowerRoman"/>
      <w:lvlText w:val="%3."/>
      <w:lvlJc w:val="right"/>
      <w:pPr>
        <w:ind w:left="3165" w:hanging="180"/>
      </w:pPr>
    </w:lvl>
    <w:lvl w:ilvl="3" w:tplc="1C09000F" w:tentative="1">
      <w:start w:val="1"/>
      <w:numFmt w:val="decimal"/>
      <w:lvlText w:val="%4."/>
      <w:lvlJc w:val="left"/>
      <w:pPr>
        <w:ind w:left="3885" w:hanging="360"/>
      </w:pPr>
    </w:lvl>
    <w:lvl w:ilvl="4" w:tplc="1C090019" w:tentative="1">
      <w:start w:val="1"/>
      <w:numFmt w:val="lowerLetter"/>
      <w:lvlText w:val="%5."/>
      <w:lvlJc w:val="left"/>
      <w:pPr>
        <w:ind w:left="4605" w:hanging="360"/>
      </w:pPr>
    </w:lvl>
    <w:lvl w:ilvl="5" w:tplc="1C09001B" w:tentative="1">
      <w:start w:val="1"/>
      <w:numFmt w:val="lowerRoman"/>
      <w:lvlText w:val="%6."/>
      <w:lvlJc w:val="right"/>
      <w:pPr>
        <w:ind w:left="5325" w:hanging="180"/>
      </w:pPr>
    </w:lvl>
    <w:lvl w:ilvl="6" w:tplc="1C09000F" w:tentative="1">
      <w:start w:val="1"/>
      <w:numFmt w:val="decimal"/>
      <w:lvlText w:val="%7."/>
      <w:lvlJc w:val="left"/>
      <w:pPr>
        <w:ind w:left="6045" w:hanging="360"/>
      </w:pPr>
    </w:lvl>
    <w:lvl w:ilvl="7" w:tplc="1C090019" w:tentative="1">
      <w:start w:val="1"/>
      <w:numFmt w:val="lowerLetter"/>
      <w:lvlText w:val="%8."/>
      <w:lvlJc w:val="left"/>
      <w:pPr>
        <w:ind w:left="6765" w:hanging="360"/>
      </w:pPr>
    </w:lvl>
    <w:lvl w:ilvl="8" w:tplc="1C09001B" w:tentative="1">
      <w:start w:val="1"/>
      <w:numFmt w:val="lowerRoman"/>
      <w:lvlText w:val="%9."/>
      <w:lvlJc w:val="right"/>
      <w:pPr>
        <w:ind w:left="7485" w:hanging="180"/>
      </w:pPr>
    </w:lvl>
  </w:abstractNum>
  <w:num w:numId="1">
    <w:abstractNumId w:val="6"/>
  </w:num>
  <w:num w:numId="2">
    <w:abstractNumId w:val="5"/>
  </w:num>
  <w:num w:numId="3">
    <w:abstractNumId w:val="4"/>
  </w:num>
  <w:num w:numId="4">
    <w:abstractNumId w:val="8"/>
  </w:num>
  <w:num w:numId="5">
    <w:abstractNumId w:val="7"/>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76"/>
    <w:rsid w:val="0000084B"/>
    <w:rsid w:val="000031BE"/>
    <w:rsid w:val="000107C1"/>
    <w:rsid w:val="00011A7F"/>
    <w:rsid w:val="00012593"/>
    <w:rsid w:val="000129A4"/>
    <w:rsid w:val="000152B2"/>
    <w:rsid w:val="000201EE"/>
    <w:rsid w:val="00031D86"/>
    <w:rsid w:val="00031DDF"/>
    <w:rsid w:val="00032ADA"/>
    <w:rsid w:val="000339EA"/>
    <w:rsid w:val="00037937"/>
    <w:rsid w:val="00037BCB"/>
    <w:rsid w:val="000433DC"/>
    <w:rsid w:val="000434BE"/>
    <w:rsid w:val="00047EAC"/>
    <w:rsid w:val="00051788"/>
    <w:rsid w:val="00051D90"/>
    <w:rsid w:val="000532D7"/>
    <w:rsid w:val="00057000"/>
    <w:rsid w:val="0006076B"/>
    <w:rsid w:val="0006102A"/>
    <w:rsid w:val="0006194F"/>
    <w:rsid w:val="00065469"/>
    <w:rsid w:val="0006715D"/>
    <w:rsid w:val="000736C3"/>
    <w:rsid w:val="000758EF"/>
    <w:rsid w:val="0007598B"/>
    <w:rsid w:val="0007793D"/>
    <w:rsid w:val="00080A18"/>
    <w:rsid w:val="00080E6C"/>
    <w:rsid w:val="00081B3D"/>
    <w:rsid w:val="00082D7D"/>
    <w:rsid w:val="00084F94"/>
    <w:rsid w:val="000852B9"/>
    <w:rsid w:val="00085606"/>
    <w:rsid w:val="00086A1E"/>
    <w:rsid w:val="00086FAC"/>
    <w:rsid w:val="00087933"/>
    <w:rsid w:val="00095F36"/>
    <w:rsid w:val="00096860"/>
    <w:rsid w:val="000974C8"/>
    <w:rsid w:val="000A103D"/>
    <w:rsid w:val="000A1CFF"/>
    <w:rsid w:val="000A2DEF"/>
    <w:rsid w:val="000B2D39"/>
    <w:rsid w:val="000B658D"/>
    <w:rsid w:val="000B72C7"/>
    <w:rsid w:val="000C3CAA"/>
    <w:rsid w:val="000C4F53"/>
    <w:rsid w:val="000C740A"/>
    <w:rsid w:val="000C7FA6"/>
    <w:rsid w:val="000D0397"/>
    <w:rsid w:val="000D1641"/>
    <w:rsid w:val="000D6244"/>
    <w:rsid w:val="000D6336"/>
    <w:rsid w:val="000E1CA4"/>
    <w:rsid w:val="000E21F2"/>
    <w:rsid w:val="000E23AB"/>
    <w:rsid w:val="000F0515"/>
    <w:rsid w:val="000F53ED"/>
    <w:rsid w:val="00102231"/>
    <w:rsid w:val="001045FA"/>
    <w:rsid w:val="00110B4C"/>
    <w:rsid w:val="00111847"/>
    <w:rsid w:val="00111BCA"/>
    <w:rsid w:val="001135AC"/>
    <w:rsid w:val="001139AB"/>
    <w:rsid w:val="00117BE6"/>
    <w:rsid w:val="00121056"/>
    <w:rsid w:val="00124059"/>
    <w:rsid w:val="00127058"/>
    <w:rsid w:val="0013025A"/>
    <w:rsid w:val="0013185C"/>
    <w:rsid w:val="00133C12"/>
    <w:rsid w:val="00133E3A"/>
    <w:rsid w:val="001355C5"/>
    <w:rsid w:val="001367C9"/>
    <w:rsid w:val="001410FE"/>
    <w:rsid w:val="00143559"/>
    <w:rsid w:val="001445DC"/>
    <w:rsid w:val="001451A1"/>
    <w:rsid w:val="0014525C"/>
    <w:rsid w:val="001475C8"/>
    <w:rsid w:val="00150D77"/>
    <w:rsid w:val="0015180E"/>
    <w:rsid w:val="00153CBC"/>
    <w:rsid w:val="00155A78"/>
    <w:rsid w:val="00160EF2"/>
    <w:rsid w:val="001616E9"/>
    <w:rsid w:val="00166A4D"/>
    <w:rsid w:val="00167583"/>
    <w:rsid w:val="00171191"/>
    <w:rsid w:val="001711FB"/>
    <w:rsid w:val="001744C8"/>
    <w:rsid w:val="00175AA0"/>
    <w:rsid w:val="0017766E"/>
    <w:rsid w:val="00177E4A"/>
    <w:rsid w:val="001813AC"/>
    <w:rsid w:val="00190E95"/>
    <w:rsid w:val="0019190F"/>
    <w:rsid w:val="00192C36"/>
    <w:rsid w:val="00193A30"/>
    <w:rsid w:val="00197190"/>
    <w:rsid w:val="001979DC"/>
    <w:rsid w:val="001A2AEE"/>
    <w:rsid w:val="001A795B"/>
    <w:rsid w:val="001A7B83"/>
    <w:rsid w:val="001B1DCD"/>
    <w:rsid w:val="001B7069"/>
    <w:rsid w:val="001C0B23"/>
    <w:rsid w:val="001C157F"/>
    <w:rsid w:val="001C2D33"/>
    <w:rsid w:val="001C6352"/>
    <w:rsid w:val="001C7C7D"/>
    <w:rsid w:val="001D5879"/>
    <w:rsid w:val="001D6CAD"/>
    <w:rsid w:val="001E0081"/>
    <w:rsid w:val="001E0AF1"/>
    <w:rsid w:val="001E33E7"/>
    <w:rsid w:val="001E34F7"/>
    <w:rsid w:val="001E3C3E"/>
    <w:rsid w:val="001E476C"/>
    <w:rsid w:val="001E49C2"/>
    <w:rsid w:val="001E4CDA"/>
    <w:rsid w:val="001F3B6A"/>
    <w:rsid w:val="001F4A86"/>
    <w:rsid w:val="001F52EC"/>
    <w:rsid w:val="002007E0"/>
    <w:rsid w:val="00200CAD"/>
    <w:rsid w:val="00201589"/>
    <w:rsid w:val="00203385"/>
    <w:rsid w:val="00205CE1"/>
    <w:rsid w:val="002076A5"/>
    <w:rsid w:val="0021096E"/>
    <w:rsid w:val="00210B82"/>
    <w:rsid w:val="00210DF9"/>
    <w:rsid w:val="002113BA"/>
    <w:rsid w:val="00211B15"/>
    <w:rsid w:val="0021221C"/>
    <w:rsid w:val="00212F55"/>
    <w:rsid w:val="0021311D"/>
    <w:rsid w:val="00215604"/>
    <w:rsid w:val="00220267"/>
    <w:rsid w:val="00220E07"/>
    <w:rsid w:val="00221CC4"/>
    <w:rsid w:val="00222334"/>
    <w:rsid w:val="0022328B"/>
    <w:rsid w:val="0023096B"/>
    <w:rsid w:val="00230C41"/>
    <w:rsid w:val="00231457"/>
    <w:rsid w:val="00234099"/>
    <w:rsid w:val="002458DE"/>
    <w:rsid w:val="00251EE5"/>
    <w:rsid w:val="00253E98"/>
    <w:rsid w:val="0025562E"/>
    <w:rsid w:val="00255ABF"/>
    <w:rsid w:val="002561C2"/>
    <w:rsid w:val="00261846"/>
    <w:rsid w:val="00263745"/>
    <w:rsid w:val="00265ABD"/>
    <w:rsid w:val="002749FA"/>
    <w:rsid w:val="00276C9E"/>
    <w:rsid w:val="00281BBE"/>
    <w:rsid w:val="00285161"/>
    <w:rsid w:val="00290ABB"/>
    <w:rsid w:val="0029235C"/>
    <w:rsid w:val="00293C6B"/>
    <w:rsid w:val="00294077"/>
    <w:rsid w:val="002A125F"/>
    <w:rsid w:val="002A1F05"/>
    <w:rsid w:val="002A2A27"/>
    <w:rsid w:val="002A50B1"/>
    <w:rsid w:val="002A5229"/>
    <w:rsid w:val="002A6613"/>
    <w:rsid w:val="002A7B1F"/>
    <w:rsid w:val="002B1B55"/>
    <w:rsid w:val="002B3B8B"/>
    <w:rsid w:val="002C2068"/>
    <w:rsid w:val="002C2EE5"/>
    <w:rsid w:val="002C592D"/>
    <w:rsid w:val="002D0D15"/>
    <w:rsid w:val="002D5222"/>
    <w:rsid w:val="002E0E81"/>
    <w:rsid w:val="002E114B"/>
    <w:rsid w:val="002E1F63"/>
    <w:rsid w:val="002E2FFA"/>
    <w:rsid w:val="002E3382"/>
    <w:rsid w:val="002E6D32"/>
    <w:rsid w:val="002E749D"/>
    <w:rsid w:val="002F2793"/>
    <w:rsid w:val="002F2FE4"/>
    <w:rsid w:val="002F3899"/>
    <w:rsid w:val="002F70DB"/>
    <w:rsid w:val="00302915"/>
    <w:rsid w:val="00302956"/>
    <w:rsid w:val="00302D10"/>
    <w:rsid w:val="0030417E"/>
    <w:rsid w:val="00306D9D"/>
    <w:rsid w:val="00311069"/>
    <w:rsid w:val="0032672E"/>
    <w:rsid w:val="00326E19"/>
    <w:rsid w:val="00330A57"/>
    <w:rsid w:val="0033302F"/>
    <w:rsid w:val="00333A52"/>
    <w:rsid w:val="00334064"/>
    <w:rsid w:val="0033464D"/>
    <w:rsid w:val="003418BA"/>
    <w:rsid w:val="00344EF5"/>
    <w:rsid w:val="00345ABA"/>
    <w:rsid w:val="00346880"/>
    <w:rsid w:val="00350E57"/>
    <w:rsid w:val="003520E2"/>
    <w:rsid w:val="00353B93"/>
    <w:rsid w:val="00355796"/>
    <w:rsid w:val="003578D8"/>
    <w:rsid w:val="00360364"/>
    <w:rsid w:val="00362873"/>
    <w:rsid w:val="0036477A"/>
    <w:rsid w:val="00367F28"/>
    <w:rsid w:val="00371CE1"/>
    <w:rsid w:val="003743D5"/>
    <w:rsid w:val="00374F87"/>
    <w:rsid w:val="00375D88"/>
    <w:rsid w:val="0038146A"/>
    <w:rsid w:val="00381900"/>
    <w:rsid w:val="0038415C"/>
    <w:rsid w:val="00393B0C"/>
    <w:rsid w:val="0039461C"/>
    <w:rsid w:val="00397DE6"/>
    <w:rsid w:val="003A15E3"/>
    <w:rsid w:val="003A2354"/>
    <w:rsid w:val="003B0F2E"/>
    <w:rsid w:val="003B3D5B"/>
    <w:rsid w:val="003C0D8A"/>
    <w:rsid w:val="003C18D2"/>
    <w:rsid w:val="003D1D5B"/>
    <w:rsid w:val="003D31D8"/>
    <w:rsid w:val="003D68F8"/>
    <w:rsid w:val="003D7016"/>
    <w:rsid w:val="003E136F"/>
    <w:rsid w:val="003E1995"/>
    <w:rsid w:val="003E239F"/>
    <w:rsid w:val="003E663D"/>
    <w:rsid w:val="003F1193"/>
    <w:rsid w:val="003F3057"/>
    <w:rsid w:val="003F5DE7"/>
    <w:rsid w:val="003F5ED2"/>
    <w:rsid w:val="003F63FD"/>
    <w:rsid w:val="00401919"/>
    <w:rsid w:val="00401D82"/>
    <w:rsid w:val="00404F0B"/>
    <w:rsid w:val="004050FD"/>
    <w:rsid w:val="00411DC7"/>
    <w:rsid w:val="004129BE"/>
    <w:rsid w:val="00413EBD"/>
    <w:rsid w:val="00414E01"/>
    <w:rsid w:val="00417087"/>
    <w:rsid w:val="00425185"/>
    <w:rsid w:val="00433841"/>
    <w:rsid w:val="004344C9"/>
    <w:rsid w:val="004352ED"/>
    <w:rsid w:val="00436A4F"/>
    <w:rsid w:val="0044206E"/>
    <w:rsid w:val="00445D6F"/>
    <w:rsid w:val="004546AC"/>
    <w:rsid w:val="0045583C"/>
    <w:rsid w:val="004642B7"/>
    <w:rsid w:val="00464962"/>
    <w:rsid w:val="00464DEE"/>
    <w:rsid w:val="004728FB"/>
    <w:rsid w:val="0047525D"/>
    <w:rsid w:val="00480DDA"/>
    <w:rsid w:val="00480F33"/>
    <w:rsid w:val="00482625"/>
    <w:rsid w:val="00482FE6"/>
    <w:rsid w:val="00483EEC"/>
    <w:rsid w:val="004874D3"/>
    <w:rsid w:val="00491973"/>
    <w:rsid w:val="004940A6"/>
    <w:rsid w:val="00494B81"/>
    <w:rsid w:val="004A07B3"/>
    <w:rsid w:val="004A44EA"/>
    <w:rsid w:val="004A68D1"/>
    <w:rsid w:val="004B28A0"/>
    <w:rsid w:val="004B485A"/>
    <w:rsid w:val="004B4A88"/>
    <w:rsid w:val="004C0814"/>
    <w:rsid w:val="004C0BA8"/>
    <w:rsid w:val="004C3B8C"/>
    <w:rsid w:val="004C4EC0"/>
    <w:rsid w:val="004C775A"/>
    <w:rsid w:val="004C79BF"/>
    <w:rsid w:val="004D39B6"/>
    <w:rsid w:val="004D3E9E"/>
    <w:rsid w:val="004D53EB"/>
    <w:rsid w:val="004D6D77"/>
    <w:rsid w:val="004D753A"/>
    <w:rsid w:val="004E718B"/>
    <w:rsid w:val="004E7450"/>
    <w:rsid w:val="004F208E"/>
    <w:rsid w:val="004F20A7"/>
    <w:rsid w:val="004F2D85"/>
    <w:rsid w:val="004F41DF"/>
    <w:rsid w:val="004F4967"/>
    <w:rsid w:val="004F4DA2"/>
    <w:rsid w:val="005019EC"/>
    <w:rsid w:val="00507EDB"/>
    <w:rsid w:val="00507F84"/>
    <w:rsid w:val="00510E96"/>
    <w:rsid w:val="005137A9"/>
    <w:rsid w:val="00520068"/>
    <w:rsid w:val="005232B7"/>
    <w:rsid w:val="00524EDB"/>
    <w:rsid w:val="00526D27"/>
    <w:rsid w:val="005325C4"/>
    <w:rsid w:val="0053367F"/>
    <w:rsid w:val="00533C34"/>
    <w:rsid w:val="00535921"/>
    <w:rsid w:val="00537A82"/>
    <w:rsid w:val="00541F3B"/>
    <w:rsid w:val="00543593"/>
    <w:rsid w:val="005449D0"/>
    <w:rsid w:val="00546B89"/>
    <w:rsid w:val="00546D86"/>
    <w:rsid w:val="005474B4"/>
    <w:rsid w:val="00547C9F"/>
    <w:rsid w:val="0055678A"/>
    <w:rsid w:val="00557095"/>
    <w:rsid w:val="00557952"/>
    <w:rsid w:val="00561A1D"/>
    <w:rsid w:val="0056288C"/>
    <w:rsid w:val="005714A3"/>
    <w:rsid w:val="00575919"/>
    <w:rsid w:val="005807E1"/>
    <w:rsid w:val="00584301"/>
    <w:rsid w:val="0058720F"/>
    <w:rsid w:val="00590E77"/>
    <w:rsid w:val="00591E07"/>
    <w:rsid w:val="00592B1B"/>
    <w:rsid w:val="00596FF7"/>
    <w:rsid w:val="005A012D"/>
    <w:rsid w:val="005A016E"/>
    <w:rsid w:val="005A1DF0"/>
    <w:rsid w:val="005A54EA"/>
    <w:rsid w:val="005B1A78"/>
    <w:rsid w:val="005B3B26"/>
    <w:rsid w:val="005B59B2"/>
    <w:rsid w:val="005B5A8B"/>
    <w:rsid w:val="005B74FF"/>
    <w:rsid w:val="005C2977"/>
    <w:rsid w:val="005C3EB2"/>
    <w:rsid w:val="005C55E4"/>
    <w:rsid w:val="005E071F"/>
    <w:rsid w:val="005E0A69"/>
    <w:rsid w:val="005E26D2"/>
    <w:rsid w:val="005E2D6B"/>
    <w:rsid w:val="005E3018"/>
    <w:rsid w:val="005F2D3F"/>
    <w:rsid w:val="005F5194"/>
    <w:rsid w:val="00602AF3"/>
    <w:rsid w:val="006100D8"/>
    <w:rsid w:val="00610C58"/>
    <w:rsid w:val="00611126"/>
    <w:rsid w:val="00612627"/>
    <w:rsid w:val="00613623"/>
    <w:rsid w:val="006220A0"/>
    <w:rsid w:val="006228AB"/>
    <w:rsid w:val="006261D8"/>
    <w:rsid w:val="006262A8"/>
    <w:rsid w:val="00633C1F"/>
    <w:rsid w:val="00636A13"/>
    <w:rsid w:val="00637F94"/>
    <w:rsid w:val="00642D68"/>
    <w:rsid w:val="0064371B"/>
    <w:rsid w:val="00650BC8"/>
    <w:rsid w:val="00652083"/>
    <w:rsid w:val="0065567F"/>
    <w:rsid w:val="00657D73"/>
    <w:rsid w:val="00670798"/>
    <w:rsid w:val="00671E98"/>
    <w:rsid w:val="006742B9"/>
    <w:rsid w:val="00677094"/>
    <w:rsid w:val="0068181F"/>
    <w:rsid w:val="00684BF4"/>
    <w:rsid w:val="00686650"/>
    <w:rsid w:val="0069012B"/>
    <w:rsid w:val="00690C38"/>
    <w:rsid w:val="006933A1"/>
    <w:rsid w:val="006968EC"/>
    <w:rsid w:val="006A3871"/>
    <w:rsid w:val="006A4BC0"/>
    <w:rsid w:val="006A7207"/>
    <w:rsid w:val="006A73A5"/>
    <w:rsid w:val="006A7B09"/>
    <w:rsid w:val="006A7EA5"/>
    <w:rsid w:val="006B1A10"/>
    <w:rsid w:val="006B3E8B"/>
    <w:rsid w:val="006B5B21"/>
    <w:rsid w:val="006B779B"/>
    <w:rsid w:val="006C1E67"/>
    <w:rsid w:val="006C2CBC"/>
    <w:rsid w:val="006C5332"/>
    <w:rsid w:val="006D1605"/>
    <w:rsid w:val="006D38E2"/>
    <w:rsid w:val="006D7D62"/>
    <w:rsid w:val="006E0930"/>
    <w:rsid w:val="006E17B5"/>
    <w:rsid w:val="006E6A60"/>
    <w:rsid w:val="006F12D1"/>
    <w:rsid w:val="006F197B"/>
    <w:rsid w:val="006F6D92"/>
    <w:rsid w:val="0070550B"/>
    <w:rsid w:val="00707AC8"/>
    <w:rsid w:val="007112D9"/>
    <w:rsid w:val="00711786"/>
    <w:rsid w:val="00711EBB"/>
    <w:rsid w:val="0071223B"/>
    <w:rsid w:val="007127A9"/>
    <w:rsid w:val="00712964"/>
    <w:rsid w:val="0071336C"/>
    <w:rsid w:val="0071495C"/>
    <w:rsid w:val="00716EE8"/>
    <w:rsid w:val="00721158"/>
    <w:rsid w:val="00721638"/>
    <w:rsid w:val="0072173D"/>
    <w:rsid w:val="007219FE"/>
    <w:rsid w:val="00721BA4"/>
    <w:rsid w:val="00726AAC"/>
    <w:rsid w:val="00726BD7"/>
    <w:rsid w:val="00726EAB"/>
    <w:rsid w:val="007272A8"/>
    <w:rsid w:val="007275B1"/>
    <w:rsid w:val="00736B7B"/>
    <w:rsid w:val="00740366"/>
    <w:rsid w:val="00740FAA"/>
    <w:rsid w:val="007427F6"/>
    <w:rsid w:val="00743A98"/>
    <w:rsid w:val="00750DC5"/>
    <w:rsid w:val="00752429"/>
    <w:rsid w:val="007542E5"/>
    <w:rsid w:val="007552E2"/>
    <w:rsid w:val="00765B79"/>
    <w:rsid w:val="00770504"/>
    <w:rsid w:val="007705E8"/>
    <w:rsid w:val="00773A0D"/>
    <w:rsid w:val="00777E1D"/>
    <w:rsid w:val="007823DB"/>
    <w:rsid w:val="00787228"/>
    <w:rsid w:val="007913DC"/>
    <w:rsid w:val="007926FE"/>
    <w:rsid w:val="007928A0"/>
    <w:rsid w:val="00794D69"/>
    <w:rsid w:val="007A45C4"/>
    <w:rsid w:val="007A46F3"/>
    <w:rsid w:val="007A6BDC"/>
    <w:rsid w:val="007B329D"/>
    <w:rsid w:val="007B332F"/>
    <w:rsid w:val="007B6E98"/>
    <w:rsid w:val="007C460C"/>
    <w:rsid w:val="007C5A48"/>
    <w:rsid w:val="007D07BC"/>
    <w:rsid w:val="007D19E4"/>
    <w:rsid w:val="007D2A30"/>
    <w:rsid w:val="007E48A8"/>
    <w:rsid w:val="007E5D4B"/>
    <w:rsid w:val="007F2297"/>
    <w:rsid w:val="00800A44"/>
    <w:rsid w:val="0080428D"/>
    <w:rsid w:val="0080430D"/>
    <w:rsid w:val="00811E4E"/>
    <w:rsid w:val="0081247C"/>
    <w:rsid w:val="00812A09"/>
    <w:rsid w:val="00813502"/>
    <w:rsid w:val="00813DFC"/>
    <w:rsid w:val="00814970"/>
    <w:rsid w:val="00815D92"/>
    <w:rsid w:val="00816EC2"/>
    <w:rsid w:val="00820F12"/>
    <w:rsid w:val="008249E1"/>
    <w:rsid w:val="00825FBD"/>
    <w:rsid w:val="00833886"/>
    <w:rsid w:val="00833B59"/>
    <w:rsid w:val="00834665"/>
    <w:rsid w:val="008374CB"/>
    <w:rsid w:val="008378BB"/>
    <w:rsid w:val="00837930"/>
    <w:rsid w:val="00840991"/>
    <w:rsid w:val="008411E1"/>
    <w:rsid w:val="008453F7"/>
    <w:rsid w:val="00847D15"/>
    <w:rsid w:val="0086164E"/>
    <w:rsid w:val="008655C3"/>
    <w:rsid w:val="00865B05"/>
    <w:rsid w:val="00881253"/>
    <w:rsid w:val="008825B3"/>
    <w:rsid w:val="008826ED"/>
    <w:rsid w:val="00886A2E"/>
    <w:rsid w:val="008907FC"/>
    <w:rsid w:val="008A2CCB"/>
    <w:rsid w:val="008A781D"/>
    <w:rsid w:val="008B055F"/>
    <w:rsid w:val="008B0AF3"/>
    <w:rsid w:val="008B0B03"/>
    <w:rsid w:val="008B1299"/>
    <w:rsid w:val="008B3187"/>
    <w:rsid w:val="008B3EB2"/>
    <w:rsid w:val="008B480E"/>
    <w:rsid w:val="008B5703"/>
    <w:rsid w:val="008B67CF"/>
    <w:rsid w:val="008B7DB4"/>
    <w:rsid w:val="008C2DD5"/>
    <w:rsid w:val="008C7132"/>
    <w:rsid w:val="008C7CA5"/>
    <w:rsid w:val="008D2230"/>
    <w:rsid w:val="008D387C"/>
    <w:rsid w:val="008E124D"/>
    <w:rsid w:val="008E1CEE"/>
    <w:rsid w:val="008F1F10"/>
    <w:rsid w:val="00902040"/>
    <w:rsid w:val="009036FD"/>
    <w:rsid w:val="00903922"/>
    <w:rsid w:val="00906726"/>
    <w:rsid w:val="00910FF7"/>
    <w:rsid w:val="00911F7D"/>
    <w:rsid w:val="00912543"/>
    <w:rsid w:val="00922965"/>
    <w:rsid w:val="00922C0E"/>
    <w:rsid w:val="00934B84"/>
    <w:rsid w:val="00934CB5"/>
    <w:rsid w:val="00943A58"/>
    <w:rsid w:val="009458C8"/>
    <w:rsid w:val="00953CF5"/>
    <w:rsid w:val="009558C3"/>
    <w:rsid w:val="009640A6"/>
    <w:rsid w:val="00965001"/>
    <w:rsid w:val="00971A9C"/>
    <w:rsid w:val="00971E05"/>
    <w:rsid w:val="00973656"/>
    <w:rsid w:val="009777C3"/>
    <w:rsid w:val="009816C2"/>
    <w:rsid w:val="009850B5"/>
    <w:rsid w:val="009856F3"/>
    <w:rsid w:val="0098747B"/>
    <w:rsid w:val="0098755D"/>
    <w:rsid w:val="009964F5"/>
    <w:rsid w:val="00996638"/>
    <w:rsid w:val="009967B7"/>
    <w:rsid w:val="00996DB9"/>
    <w:rsid w:val="009A419B"/>
    <w:rsid w:val="009A796B"/>
    <w:rsid w:val="009B0EBD"/>
    <w:rsid w:val="009B1281"/>
    <w:rsid w:val="009B1C7B"/>
    <w:rsid w:val="009B5429"/>
    <w:rsid w:val="009B547A"/>
    <w:rsid w:val="009B5BE5"/>
    <w:rsid w:val="009B7784"/>
    <w:rsid w:val="009C4839"/>
    <w:rsid w:val="009C5B4E"/>
    <w:rsid w:val="009C715C"/>
    <w:rsid w:val="009C7C77"/>
    <w:rsid w:val="009D4EA9"/>
    <w:rsid w:val="009D72F6"/>
    <w:rsid w:val="009F1B79"/>
    <w:rsid w:val="009F31EB"/>
    <w:rsid w:val="009F3CFD"/>
    <w:rsid w:val="009F635B"/>
    <w:rsid w:val="009F63BC"/>
    <w:rsid w:val="00A002CC"/>
    <w:rsid w:val="00A042D0"/>
    <w:rsid w:val="00A05879"/>
    <w:rsid w:val="00A05C85"/>
    <w:rsid w:val="00A11C5B"/>
    <w:rsid w:val="00A15D96"/>
    <w:rsid w:val="00A175D2"/>
    <w:rsid w:val="00A26696"/>
    <w:rsid w:val="00A35ABD"/>
    <w:rsid w:val="00A527CC"/>
    <w:rsid w:val="00A528A3"/>
    <w:rsid w:val="00A53BFD"/>
    <w:rsid w:val="00A606B8"/>
    <w:rsid w:val="00A64967"/>
    <w:rsid w:val="00A6532F"/>
    <w:rsid w:val="00A677A8"/>
    <w:rsid w:val="00A74F04"/>
    <w:rsid w:val="00A756F5"/>
    <w:rsid w:val="00A7599D"/>
    <w:rsid w:val="00A76D0A"/>
    <w:rsid w:val="00A81C1C"/>
    <w:rsid w:val="00A82FB5"/>
    <w:rsid w:val="00A83058"/>
    <w:rsid w:val="00A85489"/>
    <w:rsid w:val="00A85594"/>
    <w:rsid w:val="00A94CC1"/>
    <w:rsid w:val="00A9502C"/>
    <w:rsid w:val="00A955D2"/>
    <w:rsid w:val="00A95E2B"/>
    <w:rsid w:val="00A96FAF"/>
    <w:rsid w:val="00AA0D94"/>
    <w:rsid w:val="00AA600D"/>
    <w:rsid w:val="00AB070A"/>
    <w:rsid w:val="00AB5289"/>
    <w:rsid w:val="00AB77EF"/>
    <w:rsid w:val="00AC0F36"/>
    <w:rsid w:val="00AC1F5F"/>
    <w:rsid w:val="00AC22FF"/>
    <w:rsid w:val="00AC3AE3"/>
    <w:rsid w:val="00AC7495"/>
    <w:rsid w:val="00AD2786"/>
    <w:rsid w:val="00AE16DC"/>
    <w:rsid w:val="00AE1948"/>
    <w:rsid w:val="00AE2A2C"/>
    <w:rsid w:val="00AE79D3"/>
    <w:rsid w:val="00AF1704"/>
    <w:rsid w:val="00AF1C70"/>
    <w:rsid w:val="00AF1C72"/>
    <w:rsid w:val="00AF7EAE"/>
    <w:rsid w:val="00AF7EBF"/>
    <w:rsid w:val="00B018AB"/>
    <w:rsid w:val="00B01F31"/>
    <w:rsid w:val="00B02039"/>
    <w:rsid w:val="00B02C05"/>
    <w:rsid w:val="00B05244"/>
    <w:rsid w:val="00B06493"/>
    <w:rsid w:val="00B13A9F"/>
    <w:rsid w:val="00B15C2C"/>
    <w:rsid w:val="00B2089F"/>
    <w:rsid w:val="00B209D6"/>
    <w:rsid w:val="00B21C59"/>
    <w:rsid w:val="00B21ED4"/>
    <w:rsid w:val="00B26FA8"/>
    <w:rsid w:val="00B2739B"/>
    <w:rsid w:val="00B31E3B"/>
    <w:rsid w:val="00B34BCE"/>
    <w:rsid w:val="00B35F4F"/>
    <w:rsid w:val="00B42C03"/>
    <w:rsid w:val="00B44912"/>
    <w:rsid w:val="00B45860"/>
    <w:rsid w:val="00B504B7"/>
    <w:rsid w:val="00B52604"/>
    <w:rsid w:val="00B526A8"/>
    <w:rsid w:val="00B52E57"/>
    <w:rsid w:val="00B55202"/>
    <w:rsid w:val="00B55CB0"/>
    <w:rsid w:val="00B60E95"/>
    <w:rsid w:val="00B62737"/>
    <w:rsid w:val="00B62E27"/>
    <w:rsid w:val="00B6365D"/>
    <w:rsid w:val="00B637F4"/>
    <w:rsid w:val="00B64E3B"/>
    <w:rsid w:val="00B7118D"/>
    <w:rsid w:val="00B72186"/>
    <w:rsid w:val="00B73239"/>
    <w:rsid w:val="00B74F0A"/>
    <w:rsid w:val="00B7522F"/>
    <w:rsid w:val="00B80384"/>
    <w:rsid w:val="00B808EA"/>
    <w:rsid w:val="00B809E9"/>
    <w:rsid w:val="00B80E62"/>
    <w:rsid w:val="00B87306"/>
    <w:rsid w:val="00B92E22"/>
    <w:rsid w:val="00B9518C"/>
    <w:rsid w:val="00BA06EB"/>
    <w:rsid w:val="00BA2586"/>
    <w:rsid w:val="00BA41E4"/>
    <w:rsid w:val="00BA455D"/>
    <w:rsid w:val="00BA6588"/>
    <w:rsid w:val="00BB1392"/>
    <w:rsid w:val="00BB3491"/>
    <w:rsid w:val="00BB36FF"/>
    <w:rsid w:val="00BB4517"/>
    <w:rsid w:val="00BB5EAF"/>
    <w:rsid w:val="00BC050A"/>
    <w:rsid w:val="00BC0B5B"/>
    <w:rsid w:val="00BC6B3D"/>
    <w:rsid w:val="00BC7333"/>
    <w:rsid w:val="00BD0941"/>
    <w:rsid w:val="00BD1199"/>
    <w:rsid w:val="00BD1D66"/>
    <w:rsid w:val="00BD244B"/>
    <w:rsid w:val="00BD2C20"/>
    <w:rsid w:val="00BD32D7"/>
    <w:rsid w:val="00BD3678"/>
    <w:rsid w:val="00BD3D50"/>
    <w:rsid w:val="00BD58A7"/>
    <w:rsid w:val="00BD6035"/>
    <w:rsid w:val="00BE054B"/>
    <w:rsid w:val="00BE61B0"/>
    <w:rsid w:val="00BE66BF"/>
    <w:rsid w:val="00BF0771"/>
    <w:rsid w:val="00BF0E8D"/>
    <w:rsid w:val="00C02B6F"/>
    <w:rsid w:val="00C02ED6"/>
    <w:rsid w:val="00C038F8"/>
    <w:rsid w:val="00C04749"/>
    <w:rsid w:val="00C053CC"/>
    <w:rsid w:val="00C0549D"/>
    <w:rsid w:val="00C05BD5"/>
    <w:rsid w:val="00C069DD"/>
    <w:rsid w:val="00C12330"/>
    <w:rsid w:val="00C12CC9"/>
    <w:rsid w:val="00C22042"/>
    <w:rsid w:val="00C27509"/>
    <w:rsid w:val="00C27877"/>
    <w:rsid w:val="00C3095F"/>
    <w:rsid w:val="00C313AE"/>
    <w:rsid w:val="00C32798"/>
    <w:rsid w:val="00C33E75"/>
    <w:rsid w:val="00C36CBD"/>
    <w:rsid w:val="00C3718C"/>
    <w:rsid w:val="00C422E9"/>
    <w:rsid w:val="00C42B01"/>
    <w:rsid w:val="00C4651D"/>
    <w:rsid w:val="00C53517"/>
    <w:rsid w:val="00C53EBE"/>
    <w:rsid w:val="00C54E5D"/>
    <w:rsid w:val="00C556C1"/>
    <w:rsid w:val="00C57445"/>
    <w:rsid w:val="00C6113B"/>
    <w:rsid w:val="00C67A99"/>
    <w:rsid w:val="00C701BB"/>
    <w:rsid w:val="00C7513D"/>
    <w:rsid w:val="00C82B54"/>
    <w:rsid w:val="00C84F1D"/>
    <w:rsid w:val="00C85504"/>
    <w:rsid w:val="00C87941"/>
    <w:rsid w:val="00C95093"/>
    <w:rsid w:val="00C9757D"/>
    <w:rsid w:val="00CA2C68"/>
    <w:rsid w:val="00CA4289"/>
    <w:rsid w:val="00CB0619"/>
    <w:rsid w:val="00CB30EB"/>
    <w:rsid w:val="00CB5DB3"/>
    <w:rsid w:val="00CC179B"/>
    <w:rsid w:val="00CC3B64"/>
    <w:rsid w:val="00CC42A8"/>
    <w:rsid w:val="00CD0FA6"/>
    <w:rsid w:val="00CD107E"/>
    <w:rsid w:val="00CD239C"/>
    <w:rsid w:val="00CD3C31"/>
    <w:rsid w:val="00CD4BF5"/>
    <w:rsid w:val="00CE3B1B"/>
    <w:rsid w:val="00CE7D43"/>
    <w:rsid w:val="00CF0B14"/>
    <w:rsid w:val="00CF0C5F"/>
    <w:rsid w:val="00CF39C2"/>
    <w:rsid w:val="00CF44E6"/>
    <w:rsid w:val="00CF6209"/>
    <w:rsid w:val="00D00413"/>
    <w:rsid w:val="00D0525B"/>
    <w:rsid w:val="00D12B02"/>
    <w:rsid w:val="00D1411A"/>
    <w:rsid w:val="00D1485F"/>
    <w:rsid w:val="00D1539C"/>
    <w:rsid w:val="00D2177B"/>
    <w:rsid w:val="00D2243B"/>
    <w:rsid w:val="00D25205"/>
    <w:rsid w:val="00D274B5"/>
    <w:rsid w:val="00D34349"/>
    <w:rsid w:val="00D405F3"/>
    <w:rsid w:val="00D40618"/>
    <w:rsid w:val="00D42A50"/>
    <w:rsid w:val="00D42B57"/>
    <w:rsid w:val="00D42D93"/>
    <w:rsid w:val="00D436B1"/>
    <w:rsid w:val="00D51022"/>
    <w:rsid w:val="00D51C86"/>
    <w:rsid w:val="00D51E34"/>
    <w:rsid w:val="00D5236F"/>
    <w:rsid w:val="00D53ADA"/>
    <w:rsid w:val="00D54156"/>
    <w:rsid w:val="00D55634"/>
    <w:rsid w:val="00D566A6"/>
    <w:rsid w:val="00D60CC1"/>
    <w:rsid w:val="00D62492"/>
    <w:rsid w:val="00D64970"/>
    <w:rsid w:val="00D66189"/>
    <w:rsid w:val="00D66664"/>
    <w:rsid w:val="00D67498"/>
    <w:rsid w:val="00D67C5E"/>
    <w:rsid w:val="00D70542"/>
    <w:rsid w:val="00D72522"/>
    <w:rsid w:val="00D748E6"/>
    <w:rsid w:val="00D77FED"/>
    <w:rsid w:val="00D80F1B"/>
    <w:rsid w:val="00D82475"/>
    <w:rsid w:val="00D843D7"/>
    <w:rsid w:val="00D85863"/>
    <w:rsid w:val="00D87933"/>
    <w:rsid w:val="00D91FB3"/>
    <w:rsid w:val="00D95CEC"/>
    <w:rsid w:val="00D9756A"/>
    <w:rsid w:val="00DA1AD1"/>
    <w:rsid w:val="00DA2771"/>
    <w:rsid w:val="00DA65C6"/>
    <w:rsid w:val="00DA6636"/>
    <w:rsid w:val="00DB4E5B"/>
    <w:rsid w:val="00DC0E8D"/>
    <w:rsid w:val="00DC35C4"/>
    <w:rsid w:val="00DC454E"/>
    <w:rsid w:val="00DD1CBD"/>
    <w:rsid w:val="00DD300E"/>
    <w:rsid w:val="00DD42D0"/>
    <w:rsid w:val="00DD4D24"/>
    <w:rsid w:val="00DD52B3"/>
    <w:rsid w:val="00DD7383"/>
    <w:rsid w:val="00DE527F"/>
    <w:rsid w:val="00DE5A33"/>
    <w:rsid w:val="00DE6086"/>
    <w:rsid w:val="00DE63E9"/>
    <w:rsid w:val="00DE797C"/>
    <w:rsid w:val="00DE7FF1"/>
    <w:rsid w:val="00DF015B"/>
    <w:rsid w:val="00DF0345"/>
    <w:rsid w:val="00DF0452"/>
    <w:rsid w:val="00DF2F5C"/>
    <w:rsid w:val="00DF3C76"/>
    <w:rsid w:val="00E000A7"/>
    <w:rsid w:val="00E004FF"/>
    <w:rsid w:val="00E00EC4"/>
    <w:rsid w:val="00E04BCC"/>
    <w:rsid w:val="00E07A17"/>
    <w:rsid w:val="00E10F8C"/>
    <w:rsid w:val="00E136AC"/>
    <w:rsid w:val="00E14127"/>
    <w:rsid w:val="00E15A26"/>
    <w:rsid w:val="00E16C11"/>
    <w:rsid w:val="00E200D5"/>
    <w:rsid w:val="00E23C4C"/>
    <w:rsid w:val="00E25906"/>
    <w:rsid w:val="00E25D35"/>
    <w:rsid w:val="00E31C39"/>
    <w:rsid w:val="00E33348"/>
    <w:rsid w:val="00E3387A"/>
    <w:rsid w:val="00E35EC6"/>
    <w:rsid w:val="00E37D0A"/>
    <w:rsid w:val="00E414B6"/>
    <w:rsid w:val="00E42313"/>
    <w:rsid w:val="00E43B37"/>
    <w:rsid w:val="00E43D58"/>
    <w:rsid w:val="00E45809"/>
    <w:rsid w:val="00E47401"/>
    <w:rsid w:val="00E50913"/>
    <w:rsid w:val="00E51508"/>
    <w:rsid w:val="00E52E4E"/>
    <w:rsid w:val="00E6071A"/>
    <w:rsid w:val="00E66ACC"/>
    <w:rsid w:val="00E6714A"/>
    <w:rsid w:val="00E67A3A"/>
    <w:rsid w:val="00E7213F"/>
    <w:rsid w:val="00E72690"/>
    <w:rsid w:val="00E7340D"/>
    <w:rsid w:val="00E7393A"/>
    <w:rsid w:val="00E74381"/>
    <w:rsid w:val="00E74679"/>
    <w:rsid w:val="00E74E18"/>
    <w:rsid w:val="00E77AE2"/>
    <w:rsid w:val="00E77CFA"/>
    <w:rsid w:val="00E77E82"/>
    <w:rsid w:val="00E803EA"/>
    <w:rsid w:val="00E805E3"/>
    <w:rsid w:val="00E818EC"/>
    <w:rsid w:val="00E85431"/>
    <w:rsid w:val="00E86341"/>
    <w:rsid w:val="00E94927"/>
    <w:rsid w:val="00E9513F"/>
    <w:rsid w:val="00E95CAB"/>
    <w:rsid w:val="00E96261"/>
    <w:rsid w:val="00E970C3"/>
    <w:rsid w:val="00EA117F"/>
    <w:rsid w:val="00EA361D"/>
    <w:rsid w:val="00EA49E6"/>
    <w:rsid w:val="00EB22FA"/>
    <w:rsid w:val="00EB2798"/>
    <w:rsid w:val="00EB55BE"/>
    <w:rsid w:val="00EC0604"/>
    <w:rsid w:val="00EC15CB"/>
    <w:rsid w:val="00EC4F73"/>
    <w:rsid w:val="00EC53B3"/>
    <w:rsid w:val="00EC78B5"/>
    <w:rsid w:val="00ED0EB3"/>
    <w:rsid w:val="00ED3243"/>
    <w:rsid w:val="00ED47B9"/>
    <w:rsid w:val="00ED57CE"/>
    <w:rsid w:val="00EE0919"/>
    <w:rsid w:val="00EE0DE1"/>
    <w:rsid w:val="00EE22F4"/>
    <w:rsid w:val="00EE3F66"/>
    <w:rsid w:val="00EF6C90"/>
    <w:rsid w:val="00EF78ED"/>
    <w:rsid w:val="00EF7CED"/>
    <w:rsid w:val="00F01892"/>
    <w:rsid w:val="00F01FF9"/>
    <w:rsid w:val="00F0374F"/>
    <w:rsid w:val="00F0664B"/>
    <w:rsid w:val="00F07023"/>
    <w:rsid w:val="00F1009A"/>
    <w:rsid w:val="00F14A95"/>
    <w:rsid w:val="00F21212"/>
    <w:rsid w:val="00F27629"/>
    <w:rsid w:val="00F3624B"/>
    <w:rsid w:val="00F413E5"/>
    <w:rsid w:val="00F4388F"/>
    <w:rsid w:val="00F46122"/>
    <w:rsid w:val="00F51B2F"/>
    <w:rsid w:val="00F52301"/>
    <w:rsid w:val="00F568A2"/>
    <w:rsid w:val="00F578A9"/>
    <w:rsid w:val="00F63EEE"/>
    <w:rsid w:val="00F70EC8"/>
    <w:rsid w:val="00F738DA"/>
    <w:rsid w:val="00F805F0"/>
    <w:rsid w:val="00F82287"/>
    <w:rsid w:val="00F85693"/>
    <w:rsid w:val="00F861C6"/>
    <w:rsid w:val="00F90AE2"/>
    <w:rsid w:val="00F92D04"/>
    <w:rsid w:val="00F9589F"/>
    <w:rsid w:val="00F96644"/>
    <w:rsid w:val="00FA0C86"/>
    <w:rsid w:val="00FA175F"/>
    <w:rsid w:val="00FA2FDB"/>
    <w:rsid w:val="00FA43AF"/>
    <w:rsid w:val="00FA58A5"/>
    <w:rsid w:val="00FA5D67"/>
    <w:rsid w:val="00FB1382"/>
    <w:rsid w:val="00FB3EA0"/>
    <w:rsid w:val="00FB6981"/>
    <w:rsid w:val="00FC13C1"/>
    <w:rsid w:val="00FC3E0F"/>
    <w:rsid w:val="00FC4004"/>
    <w:rsid w:val="00FD0898"/>
    <w:rsid w:val="00FD1997"/>
    <w:rsid w:val="00FD4578"/>
    <w:rsid w:val="00FD4EF3"/>
    <w:rsid w:val="00FD68FA"/>
    <w:rsid w:val="00FD7E69"/>
    <w:rsid w:val="00FE1B7C"/>
    <w:rsid w:val="00FE211D"/>
    <w:rsid w:val="00FF26AE"/>
    <w:rsid w:val="00FF781A"/>
    <w:rsid w:val="00FF7B79"/>
    <w:rsid w:val="670D8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4204F"/>
  <w15:docId w15:val="{32912976-10E8-400F-BA98-920CB15D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3" w:lineRule="auto"/>
      <w:ind w:left="1014" w:right="89" w:hanging="10"/>
      <w:jc w:val="both"/>
    </w:pPr>
    <w:rPr>
      <w:rFonts w:ascii="Arial" w:eastAsia="Arial" w:hAnsi="Arial" w:cs="Arial"/>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BFBFBF"/>
      <w:spacing w:after="35"/>
      <w:ind w:left="1122" w:hanging="10"/>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0C7F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Chapter,Texte Général,Paragraphe  revu,TITRE REFERENCE,References,Citation List,Number Bullets,small normal,Indent Paragraph,Normal bullet 2,Bullet list,List Paragraph1,Numbered List,1st level - Bullet List Paragraph,Lettre d'introduction"/>
    <w:basedOn w:val="Normal"/>
    <w:link w:val="ListParagraphChar"/>
    <w:uiPriority w:val="34"/>
    <w:qFormat/>
    <w:rsid w:val="00EF78ED"/>
    <w:pPr>
      <w:ind w:left="720"/>
      <w:contextualSpacing/>
    </w:pPr>
  </w:style>
  <w:style w:type="paragraph" w:styleId="BalloonText">
    <w:name w:val="Balloon Text"/>
    <w:basedOn w:val="Normal"/>
    <w:link w:val="BalloonTextChar"/>
    <w:uiPriority w:val="99"/>
    <w:semiHidden/>
    <w:unhideWhenUsed/>
    <w:rsid w:val="00EF7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CED"/>
    <w:rPr>
      <w:rFonts w:ascii="Segoe UI" w:eastAsia="Arial" w:hAnsi="Segoe UI" w:cs="Segoe UI"/>
      <w:color w:val="000000"/>
      <w:sz w:val="18"/>
      <w:szCs w:val="18"/>
    </w:rPr>
  </w:style>
  <w:style w:type="paragraph" w:styleId="Footer">
    <w:name w:val="footer"/>
    <w:basedOn w:val="Normal"/>
    <w:link w:val="FooterChar"/>
    <w:uiPriority w:val="99"/>
    <w:unhideWhenUsed/>
    <w:rsid w:val="00EF7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CED"/>
    <w:rPr>
      <w:rFonts w:ascii="Arial" w:eastAsia="Arial" w:hAnsi="Arial" w:cs="Arial"/>
      <w:color w:val="000000"/>
    </w:rPr>
  </w:style>
  <w:style w:type="paragraph" w:styleId="Header">
    <w:name w:val="header"/>
    <w:basedOn w:val="Normal"/>
    <w:link w:val="HeaderChar"/>
    <w:uiPriority w:val="99"/>
    <w:semiHidden/>
    <w:unhideWhenUsed/>
    <w:rsid w:val="008F1F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1F10"/>
    <w:rPr>
      <w:rFonts w:ascii="Arial" w:eastAsia="Arial" w:hAnsi="Arial" w:cs="Arial"/>
      <w:color w:val="000000"/>
    </w:rPr>
  </w:style>
  <w:style w:type="character" w:customStyle="1" w:styleId="markedcontent">
    <w:name w:val="markedcontent"/>
    <w:basedOn w:val="DefaultParagraphFont"/>
    <w:rsid w:val="005449D0"/>
  </w:style>
  <w:style w:type="paragraph" w:styleId="FootnoteText">
    <w:name w:val="footnote text"/>
    <w:basedOn w:val="Normal"/>
    <w:link w:val="FootnoteTextChar"/>
    <w:uiPriority w:val="99"/>
    <w:unhideWhenUsed/>
    <w:rsid w:val="006A7B09"/>
    <w:pPr>
      <w:spacing w:after="0" w:line="240" w:lineRule="auto"/>
    </w:pPr>
    <w:rPr>
      <w:sz w:val="20"/>
      <w:szCs w:val="20"/>
    </w:rPr>
  </w:style>
  <w:style w:type="character" w:customStyle="1" w:styleId="FootnoteTextChar">
    <w:name w:val="Footnote Text Char"/>
    <w:basedOn w:val="DefaultParagraphFont"/>
    <w:link w:val="FootnoteText"/>
    <w:uiPriority w:val="99"/>
    <w:rsid w:val="006A7B09"/>
    <w:rPr>
      <w:rFonts w:ascii="Arial" w:eastAsia="Arial" w:hAnsi="Arial" w:cs="Arial"/>
      <w:color w:val="000000"/>
      <w:sz w:val="20"/>
      <w:szCs w:val="20"/>
    </w:rPr>
  </w:style>
  <w:style w:type="character" w:styleId="FootnoteReference">
    <w:name w:val="footnote reference"/>
    <w:basedOn w:val="DefaultParagraphFont"/>
    <w:uiPriority w:val="99"/>
    <w:unhideWhenUsed/>
    <w:rsid w:val="006A7B09"/>
    <w:rPr>
      <w:vertAlign w:val="superscript"/>
    </w:rPr>
  </w:style>
  <w:style w:type="character" w:styleId="Hyperlink">
    <w:name w:val="Hyperlink"/>
    <w:basedOn w:val="DefaultParagraphFont"/>
    <w:uiPriority w:val="99"/>
    <w:unhideWhenUsed/>
    <w:rsid w:val="00E136AC"/>
    <w:rPr>
      <w:color w:val="0563C1" w:themeColor="hyperlink"/>
      <w:u w:val="single"/>
    </w:rPr>
  </w:style>
  <w:style w:type="character" w:styleId="UnresolvedMention">
    <w:name w:val="Unresolved Mention"/>
    <w:basedOn w:val="DefaultParagraphFont"/>
    <w:uiPriority w:val="99"/>
    <w:semiHidden/>
    <w:unhideWhenUsed/>
    <w:rsid w:val="00E136AC"/>
    <w:rPr>
      <w:color w:val="605E5C"/>
      <w:shd w:val="clear" w:color="auto" w:fill="E1DFDD"/>
    </w:rPr>
  </w:style>
  <w:style w:type="character" w:styleId="CommentReference">
    <w:name w:val="annotation reference"/>
    <w:basedOn w:val="DefaultParagraphFont"/>
    <w:uiPriority w:val="99"/>
    <w:semiHidden/>
    <w:unhideWhenUsed/>
    <w:rsid w:val="008249E1"/>
    <w:rPr>
      <w:sz w:val="16"/>
      <w:szCs w:val="16"/>
    </w:rPr>
  </w:style>
  <w:style w:type="paragraph" w:styleId="CommentText">
    <w:name w:val="annotation text"/>
    <w:basedOn w:val="Normal"/>
    <w:link w:val="CommentTextChar"/>
    <w:uiPriority w:val="99"/>
    <w:unhideWhenUsed/>
    <w:rsid w:val="008249E1"/>
    <w:pPr>
      <w:spacing w:line="240" w:lineRule="auto"/>
    </w:pPr>
    <w:rPr>
      <w:sz w:val="20"/>
      <w:szCs w:val="20"/>
    </w:rPr>
  </w:style>
  <w:style w:type="character" w:customStyle="1" w:styleId="CommentTextChar">
    <w:name w:val="Comment Text Char"/>
    <w:basedOn w:val="DefaultParagraphFont"/>
    <w:link w:val="CommentText"/>
    <w:uiPriority w:val="99"/>
    <w:rsid w:val="008249E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249E1"/>
    <w:rPr>
      <w:b/>
      <w:bCs/>
    </w:rPr>
  </w:style>
  <w:style w:type="character" w:customStyle="1" w:styleId="CommentSubjectChar">
    <w:name w:val="Comment Subject Char"/>
    <w:basedOn w:val="CommentTextChar"/>
    <w:link w:val="CommentSubject"/>
    <w:uiPriority w:val="99"/>
    <w:semiHidden/>
    <w:rsid w:val="008249E1"/>
    <w:rPr>
      <w:rFonts w:ascii="Arial" w:eastAsia="Arial" w:hAnsi="Arial" w:cs="Arial"/>
      <w:b/>
      <w:bCs/>
      <w:color w:val="000000"/>
      <w:sz w:val="20"/>
      <w:szCs w:val="20"/>
    </w:rPr>
  </w:style>
  <w:style w:type="paragraph" w:customStyle="1" w:styleId="Default">
    <w:name w:val="Default"/>
    <w:rsid w:val="00D2243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Chapter Char,Texte Général Char,Paragraphe  revu Char,TITRE REFERENCE Char,References Char,Citation List Char,Number Bullets Char,small normal Char,Indent Paragraph Char,Normal bullet 2 Char,Bullet list Char,List Paragraph1 Char"/>
    <w:basedOn w:val="DefaultParagraphFont"/>
    <w:link w:val="ListParagraph"/>
    <w:uiPriority w:val="34"/>
    <w:qFormat/>
    <w:rsid w:val="0081247C"/>
    <w:rPr>
      <w:rFonts w:ascii="Arial" w:eastAsia="Arial" w:hAnsi="Arial" w:cs="Arial"/>
      <w:color w:val="000000"/>
    </w:rPr>
  </w:style>
  <w:style w:type="paragraph" w:styleId="Revision">
    <w:name w:val="Revision"/>
    <w:hidden/>
    <w:uiPriority w:val="99"/>
    <w:semiHidden/>
    <w:rsid w:val="00B06493"/>
    <w:pPr>
      <w:spacing w:after="0" w:line="240" w:lineRule="auto"/>
    </w:pPr>
    <w:rPr>
      <w:rFonts w:ascii="Arial" w:eastAsia="Arial" w:hAnsi="Arial" w:cs="Arial"/>
      <w:color w:val="000000"/>
    </w:rPr>
  </w:style>
  <w:style w:type="character" w:customStyle="1" w:styleId="Heading2Char">
    <w:name w:val="Heading 2 Char"/>
    <w:basedOn w:val="DefaultParagraphFont"/>
    <w:link w:val="Heading2"/>
    <w:uiPriority w:val="9"/>
    <w:semiHidden/>
    <w:rsid w:val="000C7FA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5491">
      <w:bodyDiv w:val="1"/>
      <w:marLeft w:val="0"/>
      <w:marRight w:val="0"/>
      <w:marTop w:val="0"/>
      <w:marBottom w:val="0"/>
      <w:divBdr>
        <w:top w:val="none" w:sz="0" w:space="0" w:color="auto"/>
        <w:left w:val="none" w:sz="0" w:space="0" w:color="auto"/>
        <w:bottom w:val="none" w:sz="0" w:space="0" w:color="auto"/>
        <w:right w:val="none" w:sz="0" w:space="0" w:color="auto"/>
      </w:divBdr>
    </w:div>
    <w:div w:id="750739443">
      <w:bodyDiv w:val="1"/>
      <w:marLeft w:val="0"/>
      <w:marRight w:val="0"/>
      <w:marTop w:val="0"/>
      <w:marBottom w:val="0"/>
      <w:divBdr>
        <w:top w:val="none" w:sz="0" w:space="0" w:color="auto"/>
        <w:left w:val="none" w:sz="0" w:space="0" w:color="auto"/>
        <w:bottom w:val="none" w:sz="0" w:space="0" w:color="auto"/>
        <w:right w:val="none" w:sz="0" w:space="0" w:color="auto"/>
      </w:divBdr>
      <w:divsChild>
        <w:div w:id="1019308414">
          <w:marLeft w:val="547"/>
          <w:marRight w:val="0"/>
          <w:marTop w:val="0"/>
          <w:marBottom w:val="0"/>
          <w:divBdr>
            <w:top w:val="none" w:sz="0" w:space="0" w:color="auto"/>
            <w:left w:val="none" w:sz="0" w:space="0" w:color="auto"/>
            <w:bottom w:val="none" w:sz="0" w:space="0" w:color="auto"/>
            <w:right w:val="none" w:sz="0" w:space="0" w:color="auto"/>
          </w:divBdr>
        </w:div>
      </w:divsChild>
    </w:div>
    <w:div w:id="1346176366">
      <w:bodyDiv w:val="1"/>
      <w:marLeft w:val="0"/>
      <w:marRight w:val="0"/>
      <w:marTop w:val="0"/>
      <w:marBottom w:val="0"/>
      <w:divBdr>
        <w:top w:val="none" w:sz="0" w:space="0" w:color="auto"/>
        <w:left w:val="none" w:sz="0" w:space="0" w:color="auto"/>
        <w:bottom w:val="none" w:sz="0" w:space="0" w:color="auto"/>
        <w:right w:val="none" w:sz="0" w:space="0" w:color="auto"/>
      </w:divBdr>
    </w:div>
    <w:div w:id="1572034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F9CEEB13E5A24A9E607151D2C3EDE3" ma:contentTypeVersion="6" ma:contentTypeDescription="Create a new document." ma:contentTypeScope="" ma:versionID="7f3cc31fd7dc4d7e245d1cc02a31b030">
  <xsd:schema xmlns:xsd="http://www.w3.org/2001/XMLSchema" xmlns:xs="http://www.w3.org/2001/XMLSchema" xmlns:p="http://schemas.microsoft.com/office/2006/metadata/properties" xmlns:ns2="d54fac89-6d8b-459f-88d3-dee0a15e7ea7" xmlns:ns3="bb3d9df8-6235-4d20-a218-690f847de2ce" targetNamespace="http://schemas.microsoft.com/office/2006/metadata/properties" ma:root="true" ma:fieldsID="26ac0b91ad989fb34d95f31268e6cab2" ns2:_="" ns3:_="">
    <xsd:import namespace="d54fac89-6d8b-459f-88d3-dee0a15e7ea7"/>
    <xsd:import namespace="bb3d9df8-6235-4d20-a218-690f847de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fac89-6d8b-459f-88d3-dee0a15e7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3d9df8-6235-4d20-a218-690f847de2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FFFC8-C396-4393-9C73-BA55696723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96F473-8DA5-44C5-8950-86DE2C324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fac89-6d8b-459f-88d3-dee0a15e7ea7"/>
    <ds:schemaRef ds:uri="bb3d9df8-6235-4d20-a218-690f847de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C1A24-7728-4E32-B4CE-883DC104F7C1}">
  <ds:schemaRefs>
    <ds:schemaRef ds:uri="http://schemas.microsoft.com/sharepoint/v3/contenttype/forms"/>
  </ds:schemaRefs>
</ds:datastoreItem>
</file>

<file path=customXml/itemProps4.xml><?xml version="1.0" encoding="utf-8"?>
<ds:datastoreItem xmlns:ds="http://schemas.openxmlformats.org/officeDocument/2006/customXml" ds:itemID="{974FC60F-86CA-4C41-A317-0CC0A7BA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2924</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Ref</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administrator</dc:creator>
  <cp:keywords/>
  <cp:lastModifiedBy>Richard Makgotlho</cp:lastModifiedBy>
  <cp:revision>7</cp:revision>
  <dcterms:created xsi:type="dcterms:W3CDTF">2021-10-29T11:09:00Z</dcterms:created>
  <dcterms:modified xsi:type="dcterms:W3CDTF">2021-10-29T13:11:00Z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d8dc4c-d546-4246-a6d7-53ea0bd0654f_Enabled">
    <vt:lpwstr>True</vt:lpwstr>
  </property>
  <property fmtid="{D5CDD505-2E9C-101B-9397-08002B2CF9AE}" pid="3" name="MSIP_Label_ecd8dc4c-d546-4246-a6d7-53ea0bd0654f_SiteId">
    <vt:lpwstr>37986e4a-2fc4-4a4c-809d-c0811b0231da</vt:lpwstr>
  </property>
  <property fmtid="{D5CDD505-2E9C-101B-9397-08002B2CF9AE}" pid="4" name="MSIP_Label_ecd8dc4c-d546-4246-a6d7-53ea0bd0654f_SetDate">
    <vt:lpwstr>2021-06-14T08:08:51.6757432Z</vt:lpwstr>
  </property>
  <property fmtid="{D5CDD505-2E9C-101B-9397-08002B2CF9AE}" pid="5" name="MSIP_Label_ecd8dc4c-d546-4246-a6d7-53ea0bd0654f_Name">
    <vt:lpwstr>Unrestricted</vt:lpwstr>
  </property>
  <property fmtid="{D5CDD505-2E9C-101B-9397-08002B2CF9AE}" pid="6" name="MSIP_Label_ecd8dc4c-d546-4246-a6d7-53ea0bd0654f_ActionId">
    <vt:lpwstr>45d28a9f-60c7-4eee-a4a1-25aa504647dd</vt:lpwstr>
  </property>
  <property fmtid="{D5CDD505-2E9C-101B-9397-08002B2CF9AE}" pid="7" name="MSIP_Label_ecd8dc4c-d546-4246-a6d7-53ea0bd0654f_Extended_MSFT_Method">
    <vt:lpwstr>Automatic</vt:lpwstr>
  </property>
  <property fmtid="{D5CDD505-2E9C-101B-9397-08002B2CF9AE}" pid="8" name="Sensitivity">
    <vt:lpwstr>Unrestricted</vt:lpwstr>
  </property>
  <property fmtid="{D5CDD505-2E9C-101B-9397-08002B2CF9AE}" pid="9" name="ContentTypeId">
    <vt:lpwstr>0x01010049F9CEEB13E5A24A9E607151D2C3EDE3</vt:lpwstr>
  </property>
</Properties>
</file>