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480" w:rsidRDefault="00A62480" w:rsidP="00250D4A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0" w:name="_Hlk504566855"/>
    </w:p>
    <w:bookmarkEnd w:id="0"/>
    <w:p w:rsidR="00250D4A" w:rsidRDefault="00250D4A" w:rsidP="00250D4A">
      <w:pPr>
        <w:rPr>
          <w:rFonts w:ascii="Verdana" w:hAnsi="Verdana" w:cs="Arial"/>
          <w:sz w:val="22"/>
          <w:szCs w:val="22"/>
        </w:rPr>
      </w:pPr>
    </w:p>
    <w:p w:rsidR="003C1FCA" w:rsidRPr="00051C11" w:rsidRDefault="003C1FCA" w:rsidP="003C1FCA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051C11">
        <w:rPr>
          <w:rFonts w:ascii="Verdana" w:hAnsi="Verdana" w:cs="Arial"/>
          <w:b/>
          <w:sz w:val="22"/>
          <w:szCs w:val="22"/>
        </w:rPr>
        <w:t>ANNEXURE A SCOPE OF WORK</w:t>
      </w:r>
    </w:p>
    <w:p w:rsidR="003C1FCA" w:rsidRPr="007652AB" w:rsidRDefault="003C1FCA" w:rsidP="003C1FCA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C1FCA" w:rsidRPr="007652AB" w:rsidRDefault="003C1FCA" w:rsidP="003C1FCA">
      <w:pPr>
        <w:spacing w:after="160" w:line="259" w:lineRule="auto"/>
        <w:rPr>
          <w:rFonts w:ascii="Verdana" w:eastAsia="Calibri" w:hAnsi="Verdana"/>
          <w:sz w:val="22"/>
          <w:szCs w:val="22"/>
          <w:lang w:eastAsia="en-US"/>
        </w:rPr>
      </w:pPr>
      <w:r>
        <w:rPr>
          <w:rFonts w:ascii="Verdana" w:eastAsia="Calibri" w:hAnsi="Verdana"/>
          <w:sz w:val="22"/>
          <w:szCs w:val="22"/>
          <w:lang w:eastAsia="en-US"/>
        </w:rPr>
        <w:t>Bandwidth Optimization Solution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672"/>
        <w:gridCol w:w="630"/>
        <w:gridCol w:w="2525"/>
      </w:tblGrid>
      <w:tr w:rsidR="003C1FCA" w:rsidRPr="007652AB" w:rsidTr="00217931">
        <w:trPr>
          <w:trHeight w:val="336"/>
        </w:trPr>
        <w:tc>
          <w:tcPr>
            <w:tcW w:w="5353" w:type="dxa"/>
            <w:vMerge w:val="restart"/>
            <w:shd w:val="clear" w:color="auto" w:fill="auto"/>
          </w:tcPr>
          <w:p w:rsidR="003C1FCA" w:rsidRPr="0095547E" w:rsidRDefault="003C1FCA" w:rsidP="00217931">
            <w:pP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</w:p>
          <w:p w:rsidR="003C1FCA" w:rsidRPr="0095547E" w:rsidRDefault="003C1FCA" w:rsidP="00217931">
            <w:pP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 w:rsidRPr="0095547E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302" w:type="dxa"/>
            <w:gridSpan w:val="2"/>
          </w:tcPr>
          <w:p w:rsidR="003C1FCA" w:rsidRPr="0095547E" w:rsidRDefault="003C1FCA" w:rsidP="00217931">
            <w:pPr>
              <w:jc w:val="center"/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 w:rsidRPr="0095547E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Comply</w:t>
            </w:r>
          </w:p>
        </w:tc>
        <w:tc>
          <w:tcPr>
            <w:tcW w:w="2525" w:type="dxa"/>
            <w:vMerge w:val="restart"/>
          </w:tcPr>
          <w:p w:rsidR="003C1FCA" w:rsidRPr="0095547E" w:rsidRDefault="003C1FCA" w:rsidP="00217931">
            <w:pP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If “Yes” then provide proof</w:t>
            </w:r>
          </w:p>
        </w:tc>
      </w:tr>
      <w:tr w:rsidR="003C1FCA" w:rsidRPr="007652AB" w:rsidTr="00217931">
        <w:trPr>
          <w:trHeight w:val="345"/>
        </w:trPr>
        <w:tc>
          <w:tcPr>
            <w:tcW w:w="5353" w:type="dxa"/>
            <w:vMerge/>
            <w:shd w:val="clear" w:color="auto" w:fill="auto"/>
          </w:tcPr>
          <w:p w:rsidR="003C1FCA" w:rsidRPr="0095547E" w:rsidRDefault="003C1FCA" w:rsidP="00217931">
            <w:pP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2" w:type="dxa"/>
          </w:tcPr>
          <w:p w:rsidR="003C1FCA" w:rsidRPr="0095547E" w:rsidRDefault="003C1FCA" w:rsidP="00217931">
            <w:pPr>
              <w:jc w:val="center"/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Y</w:t>
            </w:r>
            <w:r w:rsidRPr="0095547E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es</w:t>
            </w:r>
          </w:p>
        </w:tc>
        <w:tc>
          <w:tcPr>
            <w:tcW w:w="630" w:type="dxa"/>
          </w:tcPr>
          <w:p w:rsidR="003C1FCA" w:rsidRPr="0095547E" w:rsidRDefault="003C1FCA" w:rsidP="00217931">
            <w:pPr>
              <w:jc w:val="center"/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  <w:r w:rsidRPr="0095547E"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525" w:type="dxa"/>
            <w:vMerge/>
          </w:tcPr>
          <w:p w:rsidR="003C1FCA" w:rsidRDefault="003C1FCA" w:rsidP="00217931">
            <w:pPr>
              <w:rPr>
                <w:rFonts w:ascii="Verdana" w:eastAsia="Calibri" w:hAnsi="Verdana" w:cs="Arial"/>
                <w:b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315"/>
        </w:trPr>
        <w:tc>
          <w:tcPr>
            <w:tcW w:w="5353" w:type="dxa"/>
            <w:shd w:val="clear" w:color="auto" w:fill="auto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 xml:space="preserve">Automatic </w:t>
            </w:r>
            <w:proofErr w:type="spellStart"/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passthrough</w:t>
            </w:r>
            <w:proofErr w:type="spellEnd"/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 xml:space="preserve"> in event of device failure.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Ability to inspect and optimise SSL traffic.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QoS Support.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Microsoft SharePoint and Microsoft CRM Optimisation.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Automated layer 7 classification of applications.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Exchange 2016 pre-population for MAPI and latency mitigation for MAPI over HTTP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Centralized management &amp; reporting of optimised applications with the ability to identify top talkers and potential network constraints. Automated reporting.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  <w:tr w:rsidR="003C1FCA" w:rsidRPr="007652AB" w:rsidTr="00217931">
        <w:trPr>
          <w:trHeight w:val="495"/>
        </w:trPr>
        <w:tc>
          <w:tcPr>
            <w:tcW w:w="5353" w:type="dxa"/>
            <w:shd w:val="clear" w:color="auto" w:fill="auto"/>
          </w:tcPr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Initially configured to compress Bandwidth up to at least 10 Mbps for the Regions Offices and at least 50 Mbps for Head Office.</w:t>
            </w:r>
          </w:p>
          <w:p w:rsidR="003C1FCA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 w:cs="Arial"/>
                <w:sz w:val="22"/>
                <w:szCs w:val="22"/>
                <w:lang w:eastAsia="en-US"/>
              </w:rPr>
              <w:t>The appliances must be license upgradable to at least 50 Mbps for the regional offices and at least 150 Mbps for Head Office.</w:t>
            </w:r>
          </w:p>
        </w:tc>
        <w:tc>
          <w:tcPr>
            <w:tcW w:w="672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525" w:type="dxa"/>
          </w:tcPr>
          <w:p w:rsidR="003C1FCA" w:rsidRPr="007652AB" w:rsidRDefault="003C1FCA" w:rsidP="00217931">
            <w:pPr>
              <w:rPr>
                <w:rFonts w:ascii="Verdana" w:eastAsia="Calibri" w:hAnsi="Verdana" w:cs="Arial"/>
                <w:sz w:val="22"/>
                <w:szCs w:val="22"/>
                <w:lang w:eastAsia="en-US"/>
              </w:rPr>
            </w:pPr>
          </w:p>
        </w:tc>
      </w:tr>
    </w:tbl>
    <w:p w:rsidR="003C1FCA" w:rsidRPr="007652AB" w:rsidRDefault="003C1FCA" w:rsidP="003C1FCA">
      <w:pPr>
        <w:rPr>
          <w:rFonts w:ascii="Verdana" w:hAnsi="Verdana" w:cs="Arial"/>
          <w:b/>
          <w:color w:val="FF0000"/>
          <w:sz w:val="22"/>
          <w:szCs w:val="22"/>
        </w:rPr>
      </w:pPr>
      <w:bookmarkStart w:id="1" w:name="_GoBack"/>
      <w:bookmarkEnd w:id="1"/>
    </w:p>
    <w:p w:rsidR="003C1FCA" w:rsidRPr="00336F64" w:rsidRDefault="003C1FCA" w:rsidP="003C1FCA">
      <w:pPr>
        <w:rPr>
          <w:rFonts w:ascii="Verdana" w:hAnsi="Verdana" w:cs="Arial"/>
          <w:b/>
          <w:sz w:val="22"/>
          <w:szCs w:val="22"/>
        </w:rPr>
      </w:pPr>
      <w:r w:rsidRPr="00336F64">
        <w:rPr>
          <w:rFonts w:ascii="Verdana" w:hAnsi="Verdana" w:cs="Arial"/>
          <w:b/>
          <w:sz w:val="22"/>
          <w:szCs w:val="22"/>
        </w:rPr>
        <w:t xml:space="preserve">The </w:t>
      </w:r>
      <w:r>
        <w:rPr>
          <w:rFonts w:ascii="Verdana" w:hAnsi="Verdana" w:cs="Arial"/>
          <w:b/>
          <w:sz w:val="22"/>
          <w:szCs w:val="22"/>
        </w:rPr>
        <w:t>7</w:t>
      </w:r>
      <w:r w:rsidRPr="00336F64">
        <w:rPr>
          <w:rFonts w:ascii="Verdana" w:hAnsi="Verdana" w:cs="Arial"/>
          <w:b/>
          <w:sz w:val="22"/>
          <w:szCs w:val="22"/>
        </w:rPr>
        <w:t xml:space="preserve"> Offices where the implementation must be done: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Cape Town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Port Elizabeth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Durban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Bloemfontein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Mpumalanga</w:t>
      </w:r>
    </w:p>
    <w:p w:rsidR="003C1FCA" w:rsidRPr="00336F64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Limpopo</w:t>
      </w:r>
    </w:p>
    <w:p w:rsidR="003C1FCA" w:rsidRDefault="003C1FCA" w:rsidP="003C1FCA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 w:cs="Arial"/>
          <w:sz w:val="22"/>
          <w:szCs w:val="22"/>
        </w:rPr>
        <w:t>Sandton Head Office</w:t>
      </w: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&amp; the solution must be upgradeable to include North West at a later stage.</w:t>
      </w:r>
    </w:p>
    <w:p w:rsidR="003C1FCA" w:rsidRDefault="003C1FCA" w:rsidP="003C1FCA">
      <w:pPr>
        <w:ind w:left="425"/>
        <w:rPr>
          <w:rFonts w:ascii="Verdana" w:hAnsi="Verdana" w:cs="Arial"/>
          <w:sz w:val="22"/>
          <w:szCs w:val="22"/>
        </w:rPr>
      </w:pPr>
    </w:p>
    <w:p w:rsidR="003C1FCA" w:rsidRPr="00336F64" w:rsidRDefault="003C1FCA" w:rsidP="003C1FCA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5 Years SLA directly with Vendor. The SLA will be paid annually.</w:t>
      </w: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Pr="00DD6F09" w:rsidRDefault="003C1FCA" w:rsidP="003C1FCA">
      <w:pPr>
        <w:rPr>
          <w:rFonts w:ascii="Verdana" w:hAnsi="Verdana" w:cs="Arial"/>
          <w:sz w:val="22"/>
          <w:szCs w:val="22"/>
        </w:rPr>
      </w:pPr>
      <w:r w:rsidRPr="00336F64">
        <w:rPr>
          <w:rFonts w:ascii="Verdana" w:hAnsi="Verdana"/>
          <w:sz w:val="22"/>
          <w:szCs w:val="22"/>
          <w:lang w:val="en-US" w:eastAsia="en-US"/>
        </w:rPr>
        <w:t xml:space="preserve">Supplier must deliver and configure the intended </w:t>
      </w:r>
      <w:r>
        <w:rPr>
          <w:rFonts w:ascii="Verdana" w:hAnsi="Verdana"/>
          <w:sz w:val="22"/>
          <w:szCs w:val="22"/>
          <w:lang w:val="en-US" w:eastAsia="en-US"/>
        </w:rPr>
        <w:t>appliances</w:t>
      </w:r>
      <w:r w:rsidRPr="00336F64">
        <w:rPr>
          <w:rFonts w:ascii="Verdana" w:hAnsi="Verdana"/>
          <w:sz w:val="22"/>
          <w:szCs w:val="22"/>
          <w:lang w:val="en-US" w:eastAsia="en-US"/>
        </w:rPr>
        <w:t xml:space="preserve"> at each office. </w:t>
      </w: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Pr="00336F64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  <w:r w:rsidRPr="00336F64">
        <w:rPr>
          <w:rFonts w:ascii="Verdana" w:hAnsi="Verdana"/>
          <w:sz w:val="22"/>
          <w:szCs w:val="22"/>
          <w:lang w:val="en-US" w:eastAsia="en-US"/>
        </w:rPr>
        <w:t>ICASA curren</w:t>
      </w:r>
      <w:r>
        <w:rPr>
          <w:rFonts w:ascii="Verdana" w:hAnsi="Verdana"/>
          <w:sz w:val="22"/>
          <w:szCs w:val="22"/>
          <w:lang w:val="en-US" w:eastAsia="en-US"/>
        </w:rPr>
        <w:t>t</w:t>
      </w:r>
      <w:r w:rsidRPr="00336F64">
        <w:rPr>
          <w:rFonts w:ascii="Verdana" w:hAnsi="Verdana"/>
          <w:sz w:val="22"/>
          <w:szCs w:val="22"/>
          <w:lang w:val="en-US" w:eastAsia="en-US"/>
        </w:rPr>
        <w:t>ly has a MPLS network between ICASA H/O and the regional offices.</w:t>
      </w:r>
    </w:p>
    <w:p w:rsidR="003C1FCA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  <w:r w:rsidRPr="00336F64">
        <w:rPr>
          <w:rFonts w:ascii="Verdana" w:hAnsi="Verdana"/>
          <w:sz w:val="22"/>
          <w:szCs w:val="22"/>
          <w:lang w:val="en-US" w:eastAsia="en-US"/>
        </w:rPr>
        <w:t xml:space="preserve">Each site as a CISCO firewall and Cisco Router. </w:t>
      </w:r>
    </w:p>
    <w:p w:rsidR="003C1FCA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</w:p>
    <w:p w:rsidR="003C1FCA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</w:p>
    <w:p w:rsidR="003C1FCA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</w:p>
    <w:p w:rsidR="003C1FCA" w:rsidRPr="00336F64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</w:p>
    <w:p w:rsidR="003C1FCA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</w:p>
    <w:p w:rsidR="003C1FCA" w:rsidRPr="00336F64" w:rsidRDefault="003C1FCA" w:rsidP="003C1FCA">
      <w:pPr>
        <w:rPr>
          <w:rFonts w:ascii="Verdana" w:hAnsi="Verdana"/>
          <w:sz w:val="22"/>
          <w:szCs w:val="22"/>
          <w:lang w:val="en-US" w:eastAsia="en-US"/>
        </w:rPr>
      </w:pPr>
      <w:r w:rsidRPr="00336F64">
        <w:rPr>
          <w:rFonts w:ascii="Verdana" w:hAnsi="Verdana"/>
          <w:sz w:val="22"/>
          <w:szCs w:val="22"/>
          <w:lang w:val="en-US" w:eastAsia="en-US"/>
        </w:rPr>
        <w:t>ICASA has included the network diagram</w:t>
      </w:r>
      <w:r>
        <w:rPr>
          <w:rFonts w:ascii="Verdana" w:hAnsi="Verdana"/>
          <w:sz w:val="22"/>
          <w:szCs w:val="22"/>
          <w:lang w:val="en-US" w:eastAsia="en-US"/>
        </w:rPr>
        <w:t>. See below.</w:t>
      </w:r>
    </w:p>
    <w:p w:rsidR="003C1FCA" w:rsidRPr="00AD4B11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  <w:r w:rsidRPr="00F53364">
        <w:rPr>
          <w:noProof/>
          <w:lang w:val="en-US" w:eastAsia="en-US"/>
        </w:rPr>
        <w:drawing>
          <wp:inline distT="0" distB="0" distL="0" distR="0" wp14:anchorId="75206D88" wp14:editId="7816F908">
            <wp:extent cx="6124575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3C1FCA" w:rsidRDefault="003C1FCA" w:rsidP="003C1FCA">
      <w:pPr>
        <w:rPr>
          <w:rFonts w:ascii="Verdana" w:hAnsi="Verdana" w:cs="Arial"/>
          <w:sz w:val="22"/>
          <w:szCs w:val="22"/>
        </w:rPr>
      </w:pPr>
    </w:p>
    <w:p w:rsidR="00250D4A" w:rsidRDefault="00250D4A" w:rsidP="00250D4A">
      <w:pPr>
        <w:rPr>
          <w:rFonts w:ascii="Verdana" w:hAnsi="Verdana" w:cs="Arial"/>
          <w:sz w:val="22"/>
          <w:szCs w:val="22"/>
        </w:rPr>
      </w:pPr>
    </w:p>
    <w:sectPr w:rsidR="00250D4A" w:rsidSect="00A6248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80" w:rsidRDefault="00A62480" w:rsidP="00A62480">
      <w:r>
        <w:separator/>
      </w:r>
    </w:p>
  </w:endnote>
  <w:endnote w:type="continuationSeparator" w:id="0">
    <w:p w:rsidR="00A62480" w:rsidRDefault="00A62480" w:rsidP="00A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80" w:rsidRDefault="00A62480" w:rsidP="00A62480">
      <w:r>
        <w:separator/>
      </w:r>
    </w:p>
  </w:footnote>
  <w:footnote w:type="continuationSeparator" w:id="0">
    <w:p w:rsidR="00A62480" w:rsidRDefault="00A62480" w:rsidP="00A6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80" w:rsidRDefault="00A62480" w:rsidP="00A62480">
    <w:pPr>
      <w:pStyle w:val="Header"/>
      <w:jc w:val="center"/>
    </w:pPr>
    <w:r w:rsidRPr="00CC5AFF">
      <w:rPr>
        <w:noProof/>
        <w:lang w:val="en-US" w:eastAsia="en-US"/>
      </w:rPr>
      <w:drawing>
        <wp:inline distT="0" distB="0" distL="0" distR="0">
          <wp:extent cx="1285875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A7FDC"/>
    <w:multiLevelType w:val="hybridMultilevel"/>
    <w:tmpl w:val="1FC64E0E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A"/>
    <w:rsid w:val="000A4025"/>
    <w:rsid w:val="001960D2"/>
    <w:rsid w:val="00250D4A"/>
    <w:rsid w:val="003C1FCA"/>
    <w:rsid w:val="005343CB"/>
    <w:rsid w:val="006F6DC5"/>
    <w:rsid w:val="00A62480"/>
    <w:rsid w:val="00D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A67F-4592-40E1-92CC-3511FD8F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D4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ZA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80"/>
    <w:rPr>
      <w:rFonts w:ascii="Arial" w:eastAsia="Times New Roman" w:hAnsi="Arial" w:cs="Times New Roman"/>
      <w:sz w:val="24"/>
      <w:szCs w:val="20"/>
      <w:lang w:val="en-ZA" w:eastAsia="zh-TW"/>
    </w:rPr>
  </w:style>
  <w:style w:type="paragraph" w:styleId="Footer">
    <w:name w:val="footer"/>
    <w:basedOn w:val="Normal"/>
    <w:link w:val="FooterChar"/>
    <w:uiPriority w:val="99"/>
    <w:unhideWhenUsed/>
    <w:rsid w:val="00A62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80"/>
    <w:rPr>
      <w:rFonts w:ascii="Arial" w:eastAsia="Times New Roman" w:hAnsi="Arial" w:cs="Times New Roman"/>
      <w:sz w:val="24"/>
      <w:szCs w:val="20"/>
      <w:lang w:val="en-Z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0CB9-7A22-4DD4-8516-E0DCEC8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ICASA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Mmatabane Hlapisi</dc:creator>
  <cp:keywords/>
  <dc:description/>
  <cp:lastModifiedBy>Mmatabane Hlapisi</cp:lastModifiedBy>
  <cp:revision>7</cp:revision>
  <dcterms:created xsi:type="dcterms:W3CDTF">2018-03-29T05:50:00Z</dcterms:created>
  <dcterms:modified xsi:type="dcterms:W3CDTF">2018-03-29T07:06:00Z</dcterms:modified>
</cp:coreProperties>
</file>